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1" w:name="договор-сервисного-обслуживания-___"/>
    <w:p>
      <w:pPr>
        <w:pStyle w:val="Heading1"/>
        <w:jc w:val="center"/>
      </w:pPr>
      <w:r>
        <w:t xml:space="preserve">Договор сервисного обслуживания № ___</w:t>
      </w:r>
    </w:p>
    <w:p>
      <w:pPr>
        <w:pStyle w:val="FirstParagraph"/>
        <w:jc w:val="center"/>
      </w:pPr>
      <w:r>
        <w:t xml:space="preserve">абонентское техническое обслуживание печатного оборудования</w:t>
      </w:r>
    </w:p>
    <w:p>
      <w:pPr>
        <w:pStyle w:val="BodyText"/>
        <w:jc w:val="center"/>
      </w:pPr>
      <w:r>
        <w:t xml:space="preserve">г. Москва — «___» ____________ 20__ г.</w:t>
      </w:r>
    </w:p>
    <w:p>
      <w:pPr>
        <w:pStyle w:val="BodyText"/>
        <w:jc w:val="both"/>
      </w:pPr>
      <w:r>
        <w:t xml:space="preserve">Индивидуальный предприниматель Горелкин Михаил Александрович, ИНН 773377244708, ОГРНИП ______________, действующий от своего имени, именуемый в дальнейшем</w:t>
      </w:r>
      <w:r>
        <w:t xml:space="preserve"> </w:t>
      </w:r>
      <w:r>
        <w:rPr>
          <w:b/>
          <w:bCs/>
        </w:rPr>
        <w:t xml:space="preserve">«Исполнитель»</w:t>
      </w:r>
      <w:r>
        <w:t xml:space="preserve">, с одной стороны, и ______________________________ в лице ______________________________, действующего на основании ______________, именуемое в дальнейшем</w:t>
      </w:r>
      <w:r>
        <w:t xml:space="preserve"> </w:t>
      </w:r>
      <w:r>
        <w:rPr>
          <w:b/>
          <w:bCs/>
        </w:rPr>
        <w:t xml:space="preserve">«Заказчик»</w:t>
      </w:r>
      <w:r>
        <w:t xml:space="preserve">, с другой стороны, совместно именуемые «Стороны», заключили настоящий договор (далее — «Договор») о нижеследующем.</w:t>
      </w:r>
    </w:p>
    <w:bookmarkStart w:id="9" w:name="предмет-договора"/>
    <w:p>
      <w:pPr>
        <w:pStyle w:val="Heading2"/>
      </w:pPr>
      <w:r>
        <w:t xml:space="preserve">1. Предмет Договора</w:t>
      </w:r>
    </w:p>
    <w:p>
      <w:pPr>
        <w:pStyle w:val="FirstParagraph"/>
        <w:jc w:val="both"/>
      </w:pPr>
      <w:r>
        <w:t xml:space="preserve">1.1. Исполнитель обязуется оказывать Заказчику услуги по техническому обслуживанию печатного оборудования (далее — «Оборудование»), указанного в Приложении № 1, а Заказчик обязуется оплачивать услуги на условиях Договора.</w:t>
      </w:r>
    </w:p>
    <w:p>
      <w:pPr>
        <w:pStyle w:val="BodyText"/>
        <w:jc w:val="both"/>
      </w:pPr>
      <w:r>
        <w:t xml:space="preserve">1.2. Договор является</w:t>
      </w:r>
      <w:r>
        <w:t xml:space="preserve"> </w:t>
      </w:r>
      <w:r>
        <w:rPr>
          <w:b/>
          <w:bCs/>
        </w:rPr>
        <w:t xml:space="preserve">абонентским</w:t>
      </w:r>
      <w:r>
        <w:t xml:space="preserve"> </w:t>
      </w:r>
      <w:r>
        <w:t xml:space="preserve">(ст. 429.4 ГК РФ): Заказчик вносит ежемесячную абонентскую плату за право требовать от Исполнителя оказания услуг в объёме, предусмотренном Договором,</w:t>
      </w:r>
      <w:r>
        <w:t xml:space="preserve"> </w:t>
      </w:r>
      <w:r>
        <w:rPr>
          <w:b/>
          <w:bCs/>
        </w:rPr>
        <w:t xml:space="preserve">независимо от того, было ли затребовано Заказчиком исполнение</w:t>
      </w:r>
      <w:r>
        <w:t xml:space="preserve"> </w:t>
      </w:r>
      <w:r>
        <w:t xml:space="preserve">в соответствующем месяце.</w:t>
      </w:r>
    </w:p>
    <w:p>
      <w:pPr>
        <w:pStyle w:val="BodyText"/>
      </w:pPr>
      <w:r>
        <w:t xml:space="preserve">1.3. В абонентскую плату входят:</w:t>
      </w:r>
    </w:p>
    <w:p>
      <w:pPr>
        <w:pStyle w:val="Compact"/>
        <w:numPr>
          <w:ilvl w:val="0"/>
          <w:numId w:val="1001"/>
        </w:numPr>
      </w:pPr>
      <w:r>
        <w:t xml:space="preserve">плановое техническое обслуживание (ТО) по регламенту производителя с периодичностью, указанной в Приложении № 1;</w:t>
      </w:r>
    </w:p>
    <w:p>
      <w:pPr>
        <w:pStyle w:val="Compact"/>
        <w:numPr>
          <w:ilvl w:val="0"/>
          <w:numId w:val="1001"/>
        </w:numPr>
      </w:pPr>
      <w:r>
        <w:t xml:space="preserve">выезды инженера по заявкам Заказчика — не более количества, указанного в Приложении № 1, в календарный месяц;</w:t>
      </w:r>
    </w:p>
    <w:p>
      <w:pPr>
        <w:pStyle w:val="Compact"/>
        <w:numPr>
          <w:ilvl w:val="0"/>
          <w:numId w:val="1001"/>
        </w:numPr>
      </w:pPr>
      <w:r>
        <w:t xml:space="preserve">диагностика неисправностей и работы по их устранению без стоимости запасных частей;</w:t>
      </w:r>
    </w:p>
    <w:p>
      <w:pPr>
        <w:pStyle w:val="Compact"/>
        <w:numPr>
          <w:ilvl w:val="0"/>
          <w:numId w:val="1001"/>
        </w:numPr>
      </w:pPr>
      <w:r>
        <w:t xml:space="preserve">удалённые консультации и удалённая настройка (телефон, e-mail, мессенджеры, удалённый доступ) в рабочее время Исполнителя.</w:t>
      </w:r>
    </w:p>
    <w:p>
      <w:pPr>
        <w:pStyle w:val="FirstParagraph"/>
        <w:jc w:val="both"/>
      </w:pPr>
      <w:r>
        <w:t xml:space="preserve">1.4. В абонентскую плату</w:t>
      </w:r>
      <w:r>
        <w:t xml:space="preserve"> </w:t>
      </w:r>
      <w:r>
        <w:rPr>
          <w:b/>
          <w:bCs/>
        </w:rPr>
        <w:t xml:space="preserve">не входят</w:t>
      </w:r>
      <w:r>
        <w:t xml:space="preserve"> </w:t>
      </w:r>
      <w:r>
        <w:t xml:space="preserve">и оплачиваются Заказчиком дополнительно по действующим ценам Исполнителя: запасные части, расходные материалы и изнашиваемые детали; выезды сверх лимита; работы во внерабочее время, выходные и праздничные дни; выезды за пределы территории обслуживания; перемещение, демонтаж и монтаж Оборудования; восстановление после последствий, указанных в п. 4.3. Если в Приложении № 1 выбран тариф «Всё включено» (оплата за отпечаток), состав включённых расходников и запчастей определяется в этом Приложении.</w:t>
      </w:r>
    </w:p>
    <w:bookmarkEnd w:id="9"/>
    <w:bookmarkStart w:id="10" w:name="порядок-оказания-услуг"/>
    <w:p>
      <w:pPr>
        <w:pStyle w:val="Heading2"/>
      </w:pPr>
      <w:r>
        <w:t xml:space="preserve">2. Порядок оказания услуг</w:t>
      </w:r>
    </w:p>
    <w:p>
      <w:pPr>
        <w:pStyle w:val="FirstParagraph"/>
        <w:jc w:val="both"/>
      </w:pPr>
      <w:r>
        <w:t xml:space="preserve">2.1. Территория обслуживания с выездом инженера — г. Москва и Московская область в пределах, указанных в Приложении № 1. За её пределами услуги оказываются удалённо; выезд возможен по отдельной заявке с оплатой проезда, проживания и времени в пути.</w:t>
      </w:r>
    </w:p>
    <w:p>
      <w:pPr>
        <w:pStyle w:val="BodyText"/>
        <w:jc w:val="both"/>
      </w:pPr>
      <w:r>
        <w:t xml:space="preserve">2.2. Заявки принимаются по телефону, e-mail или в мессенджере, указанным в реквизитах, в рабочее время Исполнителя: Пн–Пт 9:00–19:00, Сб 10:00–16:00 (МСК). Заявка, поступившая после 17:00, считается поступившей в 9:00 следующего рабочего дня.</w:t>
      </w:r>
    </w:p>
    <w:p>
      <w:pPr>
        <w:pStyle w:val="BodyText"/>
        <w:jc w:val="both"/>
      </w:pPr>
      <w:r>
        <w:t xml:space="preserve">2.3. Время реакции (прибытия инженера или начала удалённой работы): г. Москва — до 8 (восьми) рабочих часов; Московская область — до 16 (шестнадцати) рабочих часов, если иное не указано в Приложении № 1. Время реакции не является сроком устранения неисправности.</w:t>
      </w:r>
    </w:p>
    <w:p>
      <w:pPr>
        <w:pStyle w:val="BodyText"/>
        <w:jc w:val="both"/>
      </w:pPr>
      <w:r>
        <w:t xml:space="preserve">2.4. Срок устранения неисправности определяется сложностью работ и наличием запчастей. При необходимости запчасти Исполнитель согласует с Заказчиком её стоимость и срок поставки (в том числе по e-mail или в мессенджере); работы выполняются после согласования и, по требованию Исполнителя, предоплаты запчасти.</w:t>
      </w:r>
    </w:p>
    <w:p>
      <w:pPr>
        <w:pStyle w:val="BodyText"/>
        <w:jc w:val="both"/>
      </w:pPr>
      <w:r>
        <w:t xml:space="preserve">2.5. Исполнитель вправе по своему усмотрению привлекать к оказанию услуг третьих лиц, оставаясь ответственным перед Заказчиком.</w:t>
      </w:r>
    </w:p>
    <w:p>
      <w:pPr>
        <w:pStyle w:val="BodyText"/>
        <w:jc w:val="both"/>
      </w:pPr>
      <w:r>
        <w:t xml:space="preserve">2.6. Исполнитель вправе исключить из Приложения № 1 единицу Оборудования, ремонт которой экономически нецелесообразен (стоимость ремонта превышает 50 % рыночной стоимости аналогичного Оборудования) либо запчасти к которой сняты с производства, уведомив Заказчика за 10 (десять) рабочих дней с соответствующим уменьшением абонентской платы.</w:t>
      </w:r>
    </w:p>
    <w:bookmarkEnd w:id="10"/>
    <w:bookmarkStart w:id="11" w:name="стоимость-и-порядок-расчётов"/>
    <w:p>
      <w:pPr>
        <w:pStyle w:val="Heading2"/>
      </w:pPr>
      <w:r>
        <w:t xml:space="preserve">3. Стоимость и порядок расчётов</w:t>
      </w:r>
    </w:p>
    <w:p>
      <w:pPr>
        <w:pStyle w:val="FirstParagraph"/>
      </w:pPr>
      <w:r>
        <w:t xml:space="preserve">3.1. Размер ежемесячной абонентской платы указывается в Приложении № 1 и включает НДС по ставке, установленной НК РФ.</w:t>
      </w:r>
    </w:p>
    <w:p>
      <w:pPr>
        <w:pStyle w:val="BodyText"/>
        <w:jc w:val="both"/>
      </w:pPr>
      <w:r>
        <w:t xml:space="preserve">3.2. Абонентская плата вносится</w:t>
      </w:r>
      <w:r>
        <w:t xml:space="preserve"> </w:t>
      </w:r>
      <w:r>
        <w:rPr>
          <w:b/>
          <w:bCs/>
        </w:rPr>
        <w:t xml:space="preserve">авансом до 5-го числа</w:t>
      </w:r>
      <w:r>
        <w:t xml:space="preserve"> </w:t>
      </w:r>
      <w:r>
        <w:t xml:space="preserve">оплачиваемого месяца на основании счёта Исполнителя. Дополнительные работы, запчасти и расходные материалы оплачиваются в течение 5 (пяти) рабочих дней с даты выставления счёта, а запчасти под заказ — предоплатой 100 %.</w:t>
      </w:r>
    </w:p>
    <w:p>
      <w:pPr>
        <w:pStyle w:val="BodyText"/>
        <w:jc w:val="both"/>
      </w:pPr>
      <w:r>
        <w:t xml:space="preserve">3.3. Исполнитель вправе в одностороннем порядке изменить размер абонентской платы и цены на дополнительные работы не чаще одного раза в 6 (шесть) месяцев, уведомив Заказчика не менее чем за 30 (тридцать) календарных дней. Если Заказчик не согласен, он вправе расторгнуть Договор до вступления новых цен в силу.</w:t>
      </w:r>
    </w:p>
    <w:p>
      <w:pPr>
        <w:pStyle w:val="BodyText"/>
        <w:jc w:val="both"/>
      </w:pPr>
      <w:r>
        <w:t xml:space="preserve">3.4. При просрочке оплаты более чем на 5 (пять) рабочих дней Исполнитель вправе приостановить оказание услуг до полного погашения задолженности (ст. 328 ГК РФ). Приостановление не освобождает Заказчика от внесения абонентской платы за период приостановления.</w:t>
      </w:r>
    </w:p>
    <w:p>
      <w:pPr>
        <w:pStyle w:val="BodyText"/>
        <w:jc w:val="both"/>
      </w:pPr>
      <w:r>
        <w:t xml:space="preserve">3.5. Ежемесячно Исполнитель направляет Заказчику акт оказанных услуг. Заказчик обязан подписать акт или направить мотивированный отказ в течение 5 (пяти) рабочих дней с даты его получения. При отсутствии мотивированного отказа в этот срок услуги считаются принятыми без замечаний. Абонентская плата подлежит оплате независимо от подписания акта.</w:t>
      </w:r>
    </w:p>
    <w:bookmarkEnd w:id="11"/>
    <w:bookmarkStart w:id="12" w:name="обязанности-заказчика"/>
    <w:p>
      <w:pPr>
        <w:pStyle w:val="Heading2"/>
      </w:pPr>
      <w:r>
        <w:t xml:space="preserve">4. Обязанности Заказчика</w:t>
      </w:r>
    </w:p>
    <w:p>
      <w:pPr>
        <w:pStyle w:val="FirstParagraph"/>
      </w:pPr>
      <w:r>
        <w:t xml:space="preserve">4.1. Заказчик обязан:</w:t>
      </w:r>
    </w:p>
    <w:p>
      <w:pPr>
        <w:pStyle w:val="Compact"/>
        <w:numPr>
          <w:ilvl w:val="0"/>
          <w:numId w:val="1002"/>
        </w:numPr>
      </w:pPr>
      <w:r>
        <w:t xml:space="preserve">эксплуатировать Оборудование в соответствии с документацией производителя и рекомендациями Исполнителя, не превышать рекомендованную месячную нагрузку;</w:t>
      </w:r>
    </w:p>
    <w:p>
      <w:pPr>
        <w:pStyle w:val="Compact"/>
        <w:numPr>
          <w:ilvl w:val="0"/>
          <w:numId w:val="1002"/>
        </w:numPr>
      </w:pPr>
      <w:r>
        <w:t xml:space="preserve">использовать расходные материалы и бумагу, рекомендованные производителем или Исполнителем;</w:t>
      </w:r>
    </w:p>
    <w:p>
      <w:pPr>
        <w:pStyle w:val="Compact"/>
        <w:numPr>
          <w:ilvl w:val="0"/>
          <w:numId w:val="1002"/>
        </w:numPr>
      </w:pPr>
      <w:r>
        <w:t xml:space="preserve">обеспечить стабильное электропитание с заземлением и условия размещения (температура, влажность, отсутствие пыли);</w:t>
      </w:r>
    </w:p>
    <w:p>
      <w:pPr>
        <w:pStyle w:val="Compact"/>
        <w:numPr>
          <w:ilvl w:val="0"/>
          <w:numId w:val="1002"/>
        </w:numPr>
      </w:pPr>
      <w:r>
        <w:t xml:space="preserve">обеспечить доступ инженера к Оборудованию в рабочее время, назначить ответственное лицо;</w:t>
      </w:r>
    </w:p>
    <w:p>
      <w:pPr>
        <w:pStyle w:val="Compact"/>
        <w:numPr>
          <w:ilvl w:val="0"/>
          <w:numId w:val="1002"/>
        </w:numPr>
      </w:pPr>
      <w:r>
        <w:t xml:space="preserve">не допускать вскрытия, ремонта и перемещения Оборудования третьими лицами;</w:t>
      </w:r>
    </w:p>
    <w:p>
      <w:pPr>
        <w:pStyle w:val="Compact"/>
        <w:numPr>
          <w:ilvl w:val="0"/>
          <w:numId w:val="1002"/>
        </w:numPr>
      </w:pPr>
      <w:r>
        <w:t xml:space="preserve">предоставлять показания счётчиков по запросу Исполнителя;</w:t>
      </w:r>
    </w:p>
    <w:p>
      <w:pPr>
        <w:pStyle w:val="Compact"/>
        <w:numPr>
          <w:ilvl w:val="0"/>
          <w:numId w:val="1002"/>
        </w:numPr>
      </w:pPr>
      <w:r>
        <w:t xml:space="preserve">своевременно удалять с накопителей Оборудования конфиденциальную информацию.</w:t>
      </w:r>
    </w:p>
    <w:p>
      <w:pPr>
        <w:pStyle w:val="FirstParagraph"/>
        <w:jc w:val="both"/>
      </w:pPr>
      <w:r>
        <w:t xml:space="preserve">4.2. Если инженер не получил доступ к Оборудованию в согласованное время по причинам, зависящим от Заказчика, выезд считается выполненным и учитывается в лимите выездов.</w:t>
      </w:r>
    </w:p>
    <w:p>
      <w:pPr>
        <w:pStyle w:val="BodyText"/>
        <w:jc w:val="both"/>
      </w:pPr>
      <w:r>
        <w:t xml:space="preserve">4.3. Устранение неисправностей, вызванных нарушением Заказчиком п. 4.1, механическими повреждениями, попаданием жидкостей и посторонних предметов, скачками напряжения, вмешательством третьих лиц, не входит в абонентскую плату и оплачивается отдельно.</w:t>
      </w:r>
    </w:p>
    <w:bookmarkEnd w:id="12"/>
    <w:bookmarkStart w:id="13" w:name="гарантия-на-работы"/>
    <w:p>
      <w:pPr>
        <w:pStyle w:val="Heading2"/>
      </w:pPr>
      <w:r>
        <w:t xml:space="preserve">5. Гарантия на работы</w:t>
      </w:r>
    </w:p>
    <w:p>
      <w:pPr>
        <w:pStyle w:val="FirstParagraph"/>
        <w:jc w:val="both"/>
      </w:pPr>
      <w:r>
        <w:t xml:space="preserve">5.1. Гарантия на выполненные работы —</w:t>
      </w:r>
      <w:r>
        <w:t xml:space="preserve"> </w:t>
      </w:r>
      <w:r>
        <w:rPr>
          <w:b/>
          <w:bCs/>
        </w:rPr>
        <w:t xml:space="preserve">1 (один) месяц</w:t>
      </w:r>
      <w:r>
        <w:t xml:space="preserve"> </w:t>
      </w:r>
      <w:r>
        <w:t xml:space="preserve">с даты их выполнения, если иной срок не указан в акте. Гарантия на установленные запчасти — по гарантии производителя запчасти, но не менее 1 (одного) месяца; на расходные материалы и изнашиваемые детали гарантия не предоставляется, кроме заводского брака, выявленного при установке.</w:t>
      </w:r>
    </w:p>
    <w:p>
      <w:pPr>
        <w:pStyle w:val="BodyText"/>
      </w:pPr>
      <w:r>
        <w:t xml:space="preserve">5.2. Гарантия не действует при нарушении Заказчиком обязанностей, указанных в п. 4.1.</w:t>
      </w:r>
    </w:p>
    <w:bookmarkEnd w:id="13"/>
    <w:bookmarkStart w:id="14" w:name="ответственность-сторон"/>
    <w:p>
      <w:pPr>
        <w:pStyle w:val="Heading2"/>
      </w:pPr>
      <w:r>
        <w:t xml:space="preserve">6. Ответственность Сторон</w:t>
      </w:r>
    </w:p>
    <w:p>
      <w:pPr>
        <w:pStyle w:val="FirstParagraph"/>
        <w:jc w:val="both"/>
      </w:pPr>
      <w:r>
        <w:t xml:space="preserve">6.1. За просрочку оплаты Заказчик уплачивает Исполнителю пени в размере</w:t>
      </w:r>
      <w:r>
        <w:t xml:space="preserve"> </w:t>
      </w:r>
      <w:r>
        <w:rPr>
          <w:b/>
          <w:bCs/>
        </w:rPr>
        <w:t xml:space="preserve">0,1 % (одной десятой процента)</w:t>
      </w:r>
      <w:r>
        <w:t xml:space="preserve"> </w:t>
      </w:r>
      <w:r>
        <w:t xml:space="preserve">от неоплаченной суммы за каждый день просрочки.</w:t>
      </w:r>
    </w:p>
    <w:p>
      <w:pPr>
        <w:pStyle w:val="BodyText"/>
        <w:jc w:val="both"/>
      </w:pPr>
      <w:r>
        <w:t xml:space="preserve">6.2. За просрочку исполнения своих обязательств Исполнитель по письменному требованию уплачивает пени в размере 0,01 % (одной сотой процента) от стоимости неисполненного обязательства за каждый день просрочки, но не более 5 % (пяти процентов) месячной абонентской платы от стоимости неисполненного обязательства. Уплата пени является исключительной мерой ответственности Исполнителя за просрочку.</w:t>
      </w:r>
    </w:p>
    <w:p>
      <w:pPr>
        <w:pStyle w:val="BodyText"/>
        <w:jc w:val="both"/>
      </w:pPr>
      <w:r>
        <w:t xml:space="preserve">6.3. Совокупная ответственность Исполнителя по Договору ограничивается суммой реального ущерба и не может превышать размера абонентской платы за 1 (один) месяц, предшествующий нарушению. Упущенная выгода, косвенные убытки, убытки от простоя производства, потери данных и штрафы, наложенные на Заказчика третьими лицами, возмещению не подлежат. Ограничение не применяется к умышленному нарушению обязательств (п. 4 ст. 401 ГК РФ).</w:t>
      </w:r>
    </w:p>
    <w:p>
      <w:pPr>
        <w:pStyle w:val="BodyText"/>
        <w:jc w:val="both"/>
      </w:pPr>
      <w:r>
        <w:t xml:space="preserve">6.4. Проценты на сумму предварительной оплаты (аванса), а также проценты по ст. 317.1 ГК РФ на суммы обязательств Сторон не начисляются.</w:t>
      </w:r>
    </w:p>
    <w:p>
      <w:pPr>
        <w:pStyle w:val="BodyText"/>
        <w:jc w:val="both"/>
      </w:pPr>
      <w:r>
        <w:t xml:space="preserve">6.5. Исполнитель вправе приостановить исполнение своих обязательств (в том числе поставку, выполнение работ, гарантийное и сервисное обслуживание) при просрочке Заказчиком любого платежа по Договору до полного погашения задолженности (ст. 328 ГК РФ). Сроки исполнения обязательств Исполнителя при этом соразмерно продлеваются.</w:t>
      </w:r>
    </w:p>
    <w:p>
      <w:pPr>
        <w:pStyle w:val="BodyText"/>
        <w:jc w:val="both"/>
      </w:pPr>
      <w:r>
        <w:t xml:space="preserve">6.6. Неустойка начисляется только при предъявлении письменного требования. Исполнитель вправе удержать сумму начисленной неустойки и иных платежей, причитающихся ему по Договору, из сумм, подлежащих возврату Заказчику.</w:t>
      </w:r>
    </w:p>
    <w:p>
      <w:pPr>
        <w:pStyle w:val="BodyText"/>
        <w:jc w:val="both"/>
      </w:pPr>
      <w:r>
        <w:t xml:space="preserve">6.7. Исполнитель не несёт ответственности за сохранность данных на накопителях Оборудования, за простой Оборудования, а также за качество отпечатков при использовании нерекомендованных расходных материалов.</w:t>
      </w:r>
    </w:p>
    <w:bookmarkEnd w:id="14"/>
    <w:bookmarkStart w:id="15" w:name="обстоятельства-непреодолимой-силы"/>
    <w:p>
      <w:pPr>
        <w:pStyle w:val="Heading2"/>
      </w:pPr>
      <w:r>
        <w:t xml:space="preserve">7. Обстоятельства непреодолимой силы</w:t>
      </w:r>
    </w:p>
    <w:p>
      <w:pPr>
        <w:pStyle w:val="FirstParagraph"/>
        <w:jc w:val="both"/>
      </w:pPr>
      <w:r>
        <w:t xml:space="preserve">7.1. Стороны освобождаются от ответственности за неисполнение обязательств, вызванное обстоятельствами непреодолимой силы, в том числе: стихийными бедствиями, пожарами, эпидемиями, военными действиями, актами органов власти, введением санкций и ограничительных мер, запретами и ограничениями импорта/экспорта, изменением таможенных правил и задержками таможенного оформления, остановкой работы портов, железных дорог и транспортных компаний.</w:t>
      </w:r>
    </w:p>
    <w:p>
      <w:pPr>
        <w:pStyle w:val="BodyText"/>
        <w:jc w:val="both"/>
      </w:pPr>
      <w:r>
        <w:t xml:space="preserve">7.2. Сторона, для которой наступили такие обстоятельства, уведомляет другую Сторону в течение 10 (десяти) рабочих дней. Срок исполнения обязательств продлевается на время действия обстоятельств. Если они длятся более 90 (девяноста) календарных дней, каждая Сторона вправе отказаться от Договора с проведением взаиморасчётов за фактически исполненное.</w:t>
      </w:r>
    </w:p>
    <w:bookmarkEnd w:id="15"/>
    <w:bookmarkStart w:id="16" w:name="порядок-разрешения-споров"/>
    <w:p>
      <w:pPr>
        <w:pStyle w:val="Heading2"/>
      </w:pPr>
      <w:r>
        <w:t xml:space="preserve">8. Порядок разрешения споров</w:t>
      </w:r>
    </w:p>
    <w:p>
      <w:pPr>
        <w:pStyle w:val="FirstParagraph"/>
      </w:pPr>
      <w:r>
        <w:t xml:space="preserve">8.1. Претензионный порядок обязателен. Срок ответа на претензию — 10 (десять) рабочих дней с даты её получения.</w:t>
      </w:r>
    </w:p>
    <w:p>
      <w:pPr>
        <w:pStyle w:val="BodyText"/>
      </w:pPr>
      <w:r>
        <w:t xml:space="preserve">8.2. Споры, не урегулированные в претензионном порядке, передаются на рассмотрение</w:t>
      </w:r>
      <w:r>
        <w:t xml:space="preserve"> </w:t>
      </w:r>
      <w:r>
        <w:rPr>
          <w:b/>
          <w:bCs/>
        </w:rPr>
        <w:t xml:space="preserve">Арбитражного суда города Москвы</w:t>
      </w:r>
      <w:r>
        <w:t xml:space="preserve">.</w:t>
      </w:r>
    </w:p>
    <w:bookmarkEnd w:id="16"/>
    <w:bookmarkStart w:id="17" w:name="заключительные-положения"/>
    <w:p>
      <w:pPr>
        <w:pStyle w:val="Heading2"/>
      </w:pPr>
      <w:r>
        <w:t xml:space="preserve">9. Заключительные положения</w:t>
      </w:r>
    </w:p>
    <w:p>
      <w:pPr>
        <w:pStyle w:val="FirstParagraph"/>
        <w:jc w:val="both"/>
      </w:pPr>
      <w:r>
        <w:t xml:space="preserve">9.1. Договор, Спецификации, заявки, счета, акты, УПД и уведомления могут подписываться и передаваться посредством электронного документооборота (ЭДО) либо в виде сканированных копий по адресам электронной почты, указанным в разделе реквизитов. Такие документы имеют юридическую силу до обмена оригиналами. Сообщение считается полученным в день его отправки на e-mail Стороны, указанный в Договоре.</w:t>
      </w:r>
    </w:p>
    <w:p>
      <w:pPr>
        <w:pStyle w:val="BodyText"/>
        <w:jc w:val="both"/>
      </w:pPr>
      <w:r>
        <w:t xml:space="preserve">9.2. Сторона обязана в течение 3 (трёх) рабочих дней уведомить другую Сторону об изменении реквизитов, адреса, e-mail. До получения уведомления исполнение по прежним реквизитам считается надлежащим.</w:t>
      </w:r>
    </w:p>
    <w:p>
      <w:pPr>
        <w:pStyle w:val="BodyText"/>
        <w:jc w:val="both"/>
      </w:pPr>
      <w:r>
        <w:t xml:space="preserve">9.3. Покупатель (Заказчик) не вправе уступать права требования по Договору третьим лицам без письменного согласия Поставщика (Исполнителя).</w:t>
      </w:r>
    </w:p>
    <w:p>
      <w:pPr>
        <w:pStyle w:val="BodyText"/>
        <w:jc w:val="both"/>
      </w:pPr>
      <w:r>
        <w:t xml:space="preserve">9.4. Подписанием Договора Стороны подтверждают, что его условия обсуждены и приняты ими добровольно, ни одна из Сторон не является слабой стороной Договора, положения ст. 428 ГК РФ к Договору не применяются.</w:t>
      </w:r>
    </w:p>
    <w:p>
      <w:pPr>
        <w:pStyle w:val="BodyText"/>
        <w:jc w:val="both"/>
      </w:pPr>
      <w:r>
        <w:t xml:space="preserve">9.5. Во всём, что не предусмотрено Договором, Стороны руководствуются законодательством Российской Федерации. Договор составлен в двух экземплярах, имеющих равную юридическую силу.</w:t>
      </w:r>
    </w:p>
    <w:bookmarkEnd w:id="17"/>
    <w:bookmarkStart w:id="18" w:name="срок-действия-и-расторжение"/>
    <w:p>
      <w:pPr>
        <w:pStyle w:val="Heading2"/>
      </w:pPr>
      <w:r>
        <w:t xml:space="preserve">10. Срок действия и расторжение</w:t>
      </w:r>
    </w:p>
    <w:p>
      <w:pPr>
        <w:pStyle w:val="FirstParagraph"/>
        <w:jc w:val="both"/>
      </w:pPr>
      <w:r>
        <w:t xml:space="preserve">10.1. Договор вступает в силу с даты подписания и действует 12 (двенадцать) месяцев. Если ни одна из Сторон за 30 (тридцать) календарных дней до окончания срока не заявит о прекращении, Договор продлевается на каждые следующие 12 (двенадцать) месяцев.</w:t>
      </w:r>
    </w:p>
    <w:p>
      <w:pPr>
        <w:pStyle w:val="BodyText"/>
        <w:jc w:val="both"/>
      </w:pPr>
      <w:r>
        <w:t xml:space="preserve">10.2. Каждая Сторона вправе отказаться от Договора, письменно уведомив другую Сторону не менее чем за 30 (тридцать) календарных дней. Абонентская плата за месяц, в котором Договор прекращается, не возвращается и не пересчитывается. При отказе Заказчика в течение первых 6 (шести) месяцев действия Договора, если Исполнитель при его заключении провёл первичное восстановление Оборудования по льготной цене, Заказчик возмещает Исполнителю разницу между льготной и обычной ценой таких работ.</w:t>
      </w:r>
    </w:p>
    <w:p>
      <w:pPr>
        <w:pStyle w:val="BodyText"/>
      </w:pPr>
      <w:r>
        <w:t xml:space="preserve">10.3. Прекращение Договора не освобождает Заказчика от оплаты оказанных услуг, поставленных запчастей и неустойки.</w:t>
      </w:r>
    </w:p>
    <w:bookmarkEnd w:id="18"/>
    <w:bookmarkStart w:id="19" w:name="реквизиты-и-подписи-сторон"/>
    <w:p>
      <w:pPr>
        <w:pStyle w:val="Heading2"/>
      </w:pPr>
      <w:r>
        <w:t xml:space="preserve">11. Реквизиты и подписи Сторон</w:t>
      </w:r>
    </w:p>
    <w:p>
      <w:pPr>
        <w:pStyle w:val="FirstParagraph"/>
      </w:pPr>
      <w:r>
        <w:rPr>
          <w:b/>
          <w:bCs/>
        </w:rPr>
        <w:t xml:space="preserve">Исполнитель:</w:t>
      </w:r>
      <w:r>
        <w:br/>
      </w:r>
      <w:r>
        <w:t xml:space="preserve">ИП Горелкин Михаил Александрович</w:t>
      </w:r>
      <w:r>
        <w:br/>
      </w:r>
      <w:r>
        <w:t xml:space="preserve">ИНН 773377244708, ОГРНИП ______________</w:t>
      </w:r>
      <w:r>
        <w:br/>
      </w:r>
      <w:r>
        <w:t xml:space="preserve">Адрес: г. Москва, бульвар Яна Райниса, д. 7</w:t>
      </w:r>
      <w:r>
        <w:br/>
      </w:r>
      <w:r>
        <w:t xml:space="preserve">Р/с ______________ в ______________</w:t>
      </w:r>
      <w:r>
        <w:br/>
      </w:r>
      <w:r>
        <w:t xml:space="preserve">К/с ______________, БИК ______________</w:t>
      </w:r>
      <w:r>
        <w:br/>
      </w:r>
      <w:r>
        <w:t xml:space="preserve">Тел.: +7 (495) 236-72-88, e-mail: hello@tonerium.ru</w:t>
      </w:r>
      <w:r>
        <w:br/>
      </w:r>
      <w:r>
        <w:br/>
      </w:r>
      <w:r>
        <w:t xml:space="preserve">_______________ / М. А. Горелкин /</w:t>
      </w:r>
    </w:p>
    <w:p>
      <w:pPr>
        <w:pStyle w:val="BodyText"/>
      </w:pPr>
      <w:r>
        <w:rPr>
          <w:b/>
          <w:bCs/>
        </w:rPr>
        <w:t xml:space="preserve">Заказчик:</w:t>
      </w:r>
      <w:r>
        <w:br/>
      </w:r>
      <w:r>
        <w:t xml:space="preserve">______________________________</w:t>
      </w:r>
      <w:r>
        <w:br/>
      </w:r>
      <w:r>
        <w:t xml:space="preserve">ИНН ______________, КПП ______________</w:t>
      </w:r>
      <w:r>
        <w:br/>
      </w:r>
      <w:r>
        <w:t xml:space="preserve">ОГРН / ОГРНИП ______________</w:t>
      </w:r>
      <w:r>
        <w:br/>
      </w:r>
      <w:r>
        <w:t xml:space="preserve">Адрес: ______________________________</w:t>
      </w:r>
      <w:r>
        <w:br/>
      </w:r>
      <w:r>
        <w:t xml:space="preserve">Р/с ______________ в ______________</w:t>
      </w:r>
      <w:r>
        <w:br/>
      </w:r>
      <w:r>
        <w:t xml:space="preserve">К/с ______________, БИК ______________</w:t>
      </w:r>
      <w:r>
        <w:br/>
      </w:r>
      <w:r>
        <w:t xml:space="preserve">Тел.: ______________, e-mail: ______________</w:t>
      </w:r>
      <w:r>
        <w:br/>
      </w:r>
      <w:r>
        <w:br/>
      </w:r>
      <w:r>
        <w:t xml:space="preserve">_______________ / ______________ /</w:t>
      </w:r>
    </w:p>
    <w:p>
      <w:r>
        <w:pict>
          <v:rect style="width:0;height:1.5pt" o:hralign="center" o:hrstd="t" o:hr="t"/>
        </w:pict>
      </w:r>
    </w:p>
    <w:bookmarkEnd w:id="19"/>
    <w:bookmarkStart w:id="20" w:name="X0357d13383afead1c0fa36345e23d4c95ce2f5a"/>
    <w:p>
      <w:pPr>
        <w:pStyle w:val="Heading2"/>
      </w:pPr>
      <w:r>
        <w:t xml:space="preserve">Приложение № 1 — Перечень Оборудования и условия обслуживания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9AA3B8"/>
          <w:left w:val="single" w:sz="4" w:color="9AA3B8"/>
          <w:bottom w:val="single" w:sz="4" w:color="9AA3B8"/>
          <w:right w:val="single" w:sz="4" w:color="9AA3B8"/>
          <w:insideH w:val="single" w:sz="4" w:color="9AA3B8"/>
          <w:insideV w:val="single" w:sz="4" w:color="9AA3B8"/>
        </w:tblBorders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№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Модель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Серийный номер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Адрес установки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Счётчик на дату включения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Периодичность ТО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Лимит выездов в месяц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Абонентская плата, руб./мес (в т. ч. НДС)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1 раз в ___ мес. / каждые ___ тыс. отпечатков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Итого абонентская плата:</w:t>
      </w:r>
      <w:r>
        <w:t xml:space="preserve"> </w:t>
      </w:r>
      <w:r>
        <w:t xml:space="preserve">____________ руб./мес., в том числе НДС по ставке, установленной НК РФ.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Borders>
          <w:top w:val="single" w:sz="4" w:color="9AA3B8"/>
          <w:left w:val="single" w:sz="4" w:color="9AA3B8"/>
          <w:bottom w:val="single" w:sz="4" w:color="9AA3B8"/>
          <w:right w:val="single" w:sz="4" w:color="9AA3B8"/>
          <w:insideH w:val="single" w:sz="4" w:color="9AA3B8"/>
          <w:insideV w:val="single" w:sz="4" w:color="9AA3B8"/>
        </w:tblBorders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Тариф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абонентский (запчасти и расходники — отдельно) / «Всё включено» (цена отпечатка: ч/б ___ руб., цвет ___ руб.)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Территория выезда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г. Москва / Московская область до ___ км от МКАД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Время реакции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Москва — ___ раб. часов; МО — ___ раб. часов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Стоимость выезда сверх лимита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Нормо-час дополнительных работ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____________ руб.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Работы во внерабочее время</w:t>
            </w:r>
          </w:p>
        </w:tc>
        <w:tc>
          <w:tcPr/>
          <w:p>
            <w:pPr>
              <w:pStyle w:val="Compact"/>
            </w:pPr>
            <w:r>
              <w:rPr>
                <w:rFonts w:ascii="Times New Roman" w:hAnsi="Times New Roman"/>
                <w:sz w:val="18"/>
              </w:rPr>
              <w:t xml:space="preserve">коэффициент ___</w:t>
            </w:r>
          </w:p>
        </w:tc>
      </w:tr>
    </w:tbl>
    <w:p>
      <w:pPr>
        <w:pStyle w:val="BodyText"/>
      </w:pPr>
      <w:r>
        <w:t xml:space="preserve">Исполнитель: _______________ / М. А. Горелкин / Заказчик: _______________ / ______________ /</w:t>
      </w:r>
    </w:p>
    <w:bookmarkEnd w:id="20"/>
    <w:bookmarkEnd w:id="21"/>
    <w:sectPr>
      <w:headerReference w:type="default" r:id="rId9"/>
      <w:footerReference w:type="default" r:id="rId10"/>
      <w:footnotePr>
        <w:numRestart w:val="eachSect"/>
      </w:footnotePr>
      <w:pgMar w:top="1020" w:bottom="1020" w:left="1247" w:right="85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175"/>
        <w:sz w:val="15"/>
      </w:rPr>
      <w:t>Образец. Перед подписанием условия проверяются юристом и адаптируются под конкретную сделку.</w:t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A6175"/>
        <w:sz w:val="16"/>
      </w:rPr>
      <w:t>ТОНЕРИУМ · ИП Горелкин М. А. · ИНН 773377244708 · +7 (495) 236-72-88 · hello@tonerium.ru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80" w:line="259" w:lineRule="auto"/>
    </w:pPr>
    <w:rPr>
      <w:rFonts w:ascii="Times New Roman" w:hAnsi="Times New Roman" w:eastAsia="Times New Roman"/>
      <w:sz w:val="22"/>
    </w:rPr>
  </w:style>
  <w:style w:styleId="BodyText" w:type="paragraph">
    <w:name w:val="Body Text"/>
    <w:basedOn w:val="Normal"/>
    <w:link w:val="BodyTextChar"/>
    <w:qFormat/>
    <w:pPr>
      <w:spacing w:after="80" w:before="180" w:line="259" w:lineRule="auto"/>
    </w:pPr>
    <w:rPr>
      <w:rFonts w:ascii="Times New Roman" w:hAnsi="Times New Roman" w:eastAsia="Times New Roman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after="80" w:line="259" w:lineRule="auto"/>
    </w:pPr>
    <w:rPr>
      <w:rFonts w:ascii="Times New Roman" w:hAnsi="Times New Roman" w:eastAsia="Times New Roman"/>
      <w:sz w:val="22"/>
    </w:rPr>
  </w:style>
  <w:style w:customStyle="1" w:styleId="Compact" w:type="paragraph">
    <w:name w:val="Compact"/>
    <w:basedOn w:val="BodyText"/>
    <w:qFormat/>
    <w:pPr>
      <w:spacing w:after="80" w:before="36" w:line="259" w:lineRule="auto"/>
    </w:pPr>
    <w:rPr>
      <w:rFonts w:ascii="Times New Roman" w:hAnsi="Times New Roman" w:eastAsia="Times New Roman"/>
      <w:sz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0"/>
      <w:outlineLvl w:val="0"/>
    </w:pPr>
    <w:rPr>
      <w:rFonts w:asciiTheme="majorHAnsi" w:cstheme="majorBidi" w:eastAsiaTheme="majorEastAsia" w:hAnsiTheme="majorHAnsi" w:ascii="Times New Roman" w:hAnsi="Times New Roman"/>
      <w:b/>
      <w:color w:val="132248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200"/>
      <w:outlineLvl w:val="1"/>
    </w:pPr>
    <w:rPr>
      <w:rFonts w:asciiTheme="majorHAnsi" w:cstheme="majorBidi" w:eastAsiaTheme="majorEastAsia" w:hAnsiTheme="majorHAnsi" w:ascii="Times New Roman" w:hAnsi="Times New Roman"/>
      <w:b/>
      <w:color w:val="132248"/>
      <w:sz w:val="23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сервисного обслуживания (абонентский)</dc:title>
  <dc:creator>Тонериум</dc:creator>
  <cp:keywords/>
  <dcterms:created xsi:type="dcterms:W3CDTF">2026-10-16T13:53:43Z</dcterms:created>
  <dcterms:modified xsi:type="dcterms:W3CDTF">2026-10-16T13:53:43Z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