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оговор-поставки-___"/>
    <w:p>
      <w:pPr>
        <w:pStyle w:val="Heading1"/>
        <w:jc w:val="center"/>
      </w:pPr>
      <w:r>
        <w:t xml:space="preserve">Договор поставки № ___</w:t>
      </w:r>
    </w:p>
    <w:p>
      <w:pPr>
        <w:pStyle w:val="FirstParagraph"/>
        <w:jc w:val="center"/>
      </w:pPr>
      <w:r>
        <w:t xml:space="preserve">поставка оборудования со склада Поставщика</w:t>
      </w:r>
    </w:p>
    <w:p>
      <w:pPr>
        <w:pStyle w:val="BodyText"/>
        <w:jc w:val="center"/>
      </w:pPr>
      <w:r>
        <w:t xml:space="preserve">г. Москва — «___» ____________ 20__ г.</w:t>
      </w:r>
    </w:p>
    <w:p>
      <w:pPr>
        <w:pStyle w:val="BodyText"/>
        <w:jc w:val="both"/>
      </w:pPr>
      <w:r>
        <w:t xml:space="preserve">Индивидуальный предприниматель Горелкин Михаил Александрович, ИНН 773377244708, ОГРНИП ______________, действующий от своего имени, именуемый в дальнейшем</w:t>
      </w:r>
      <w:r>
        <w:t xml:space="preserve"> </w:t>
      </w:r>
      <w:r>
        <w:rPr>
          <w:b/>
          <w:bCs/>
        </w:rPr>
        <w:t xml:space="preserve">«Поставщик»</w:t>
      </w:r>
      <w:r>
        <w:t xml:space="preserve">, с одной стороны, и ______________________________ в лице ______________________________, действующего на основании ______________, именуемое в дальнейшем</w:t>
      </w:r>
      <w:r>
        <w:t xml:space="preserve"> </w:t>
      </w:r>
      <w:r>
        <w:rPr>
          <w:b/>
          <w:bCs/>
        </w:rPr>
        <w:t xml:space="preserve">«Покупатель»</w:t>
      </w:r>
      <w:r>
        <w:t xml:space="preserve">, с другой стороны, совместно именуемые «Стороны», заключили настоящий договор (далее — «Договор») о нижеследующем.</w:t>
      </w:r>
    </w:p>
    <w:bookmarkStart w:id="9" w:name="предмет-договора"/>
    <w:p>
      <w:pPr>
        <w:pStyle w:val="Heading2"/>
      </w:pPr>
      <w:r>
        <w:t xml:space="preserve">1. Предмет Договора</w:t>
      </w:r>
    </w:p>
    <w:p>
      <w:pPr>
        <w:pStyle w:val="FirstParagraph"/>
        <w:jc w:val="both"/>
      </w:pPr>
      <w:r>
        <w:t xml:space="preserve">1.1. Поставщик обязуется передать в собственность Покупателя печатное оборудование, запасные части и/или расходные материалы (далее — «Товар»), а Покупатель обязуется принять и оплатить Товар на условиях Договора.</w:t>
      </w:r>
    </w:p>
    <w:p>
      <w:pPr>
        <w:pStyle w:val="BodyText"/>
        <w:jc w:val="both"/>
      </w:pPr>
      <w:r>
        <w:t xml:space="preserve">1.2. Наименование, модель, комплектация (базовая или с опциями), серийный номер, показания счётчика, количество, цена, срок и способ доставки, необходимость пусконаладки указываются в Спецификациях, являющихся неотъемлемой частью Договора (Приложение № 1). Каждая подписанная Спецификация является заказом Покупателя.</w:t>
      </w:r>
    </w:p>
    <w:p>
      <w:pPr>
        <w:pStyle w:val="BodyText"/>
        <w:jc w:val="both"/>
      </w:pPr>
      <w:r>
        <w:t xml:space="preserve">1.3. Товар передаётся из наличия на складе Поставщика. Поставщик вправе до оплаты продать Товар третьим лицам; в этом случае Поставщик уведомляет Покупателя и предлагает аналог либо Спецификация считается незаключённой.</w:t>
      </w:r>
    </w:p>
    <w:bookmarkEnd w:id="9"/>
    <w:bookmarkStart w:id="10" w:name="цена-и-порядок-расчётов"/>
    <w:p>
      <w:pPr>
        <w:pStyle w:val="Heading2"/>
      </w:pPr>
      <w:r>
        <w:t xml:space="preserve">2. Цена и порядок расчётов</w:t>
      </w:r>
    </w:p>
    <w:p>
      <w:pPr>
        <w:pStyle w:val="FirstParagraph"/>
        <w:jc w:val="both"/>
      </w:pPr>
      <w:r>
        <w:t xml:space="preserve">2.1. Цена Товара указывается в Спецификации в рублях и включает НДС по ставке, установленной НК РФ. Цена Товара фиксируется с момента его полной оплаты.</w:t>
      </w:r>
    </w:p>
    <w:p>
      <w:pPr>
        <w:pStyle w:val="BodyText"/>
        <w:jc w:val="both"/>
      </w:pPr>
      <w:r>
        <w:t xml:space="preserve">2.2. Покупатель оплачивает</w:t>
      </w:r>
      <w:r>
        <w:t xml:space="preserve"> </w:t>
      </w:r>
      <w:r>
        <w:rPr>
          <w:b/>
          <w:bCs/>
        </w:rPr>
        <w:t xml:space="preserve">100 % (сто процентов)</w:t>
      </w:r>
      <w:r>
        <w:t xml:space="preserve"> </w:t>
      </w:r>
      <w:r>
        <w:t xml:space="preserve">стоимости Товара по Спецификации в течение</w:t>
      </w:r>
      <w:r>
        <w:t xml:space="preserve"> </w:t>
      </w:r>
      <w:r>
        <w:rPr>
          <w:b/>
          <w:bCs/>
        </w:rPr>
        <w:t xml:space="preserve">3 (трёх) рабочих дней</w:t>
      </w:r>
      <w:r>
        <w:t xml:space="preserve"> </w:t>
      </w:r>
      <w:r>
        <w:t xml:space="preserve">с даты выставления счёта, если иной порядок не указан в Спецификации. Счёт действителен 3 (три) рабочих дня; по его истечении Поставщик не гарантирует наличие и цену Товара.</w:t>
      </w:r>
    </w:p>
    <w:p>
      <w:pPr>
        <w:pStyle w:val="BodyText"/>
        <w:jc w:val="both"/>
      </w:pPr>
      <w:r>
        <w:t xml:space="preserve">2.3. Стоимость доставки, пусконаладки и иных услуг оплачивается на основании отдельного счёта или включается в счёт на Товар.</w:t>
      </w:r>
    </w:p>
    <w:p>
      <w:pPr>
        <w:pStyle w:val="BodyText"/>
      </w:pPr>
      <w:r>
        <w:t xml:space="preserve">2.4. Обязательство по оплате считается исполненным с момента зачисления денежных средств на расчётный счёт Поставщика.</w:t>
      </w:r>
    </w:p>
    <w:p>
      <w:pPr>
        <w:pStyle w:val="BodyText"/>
        <w:jc w:val="both"/>
      </w:pPr>
      <w:r>
        <w:t xml:space="preserve">2.5. Поставщик передаёт Товар в течение срока, указанного в Спецификации, исчисляемого с даты поступления полной оплаты. Вместе с Товаром передаётся УПД (счёт-фактура и накладная).</w:t>
      </w:r>
    </w:p>
    <w:bookmarkEnd w:id="10"/>
    <w:bookmarkStart w:id="11" w:name="переход-права-собственности-и-рисков"/>
    <w:p>
      <w:pPr>
        <w:pStyle w:val="Heading2"/>
      </w:pPr>
      <w:r>
        <w:t xml:space="preserve">3. Переход права собственности и рисков</w:t>
      </w:r>
    </w:p>
    <w:p>
      <w:pPr>
        <w:pStyle w:val="FirstParagraph"/>
        <w:jc w:val="both"/>
      </w:pPr>
      <w:r>
        <w:t xml:space="preserve">3.1. Право собственности на Товар переходит к Покупателю с момента</w:t>
      </w:r>
      <w:r>
        <w:t xml:space="preserve"> </w:t>
      </w:r>
      <w:r>
        <w:rPr>
          <w:b/>
          <w:bCs/>
        </w:rPr>
        <w:t xml:space="preserve">полной оплаты</w:t>
      </w:r>
      <w:r>
        <w:t xml:space="preserve"> </w:t>
      </w:r>
      <w:r>
        <w:t xml:space="preserve">Товара по соответствующей Спецификации (ст. 491 ГК РФ). До полной оплаты Покупатель не вправе отчуждать Товар, передавать его в залог или иным образом распоряжаться им.</w:t>
      </w:r>
    </w:p>
    <w:p>
      <w:pPr>
        <w:pStyle w:val="BodyText"/>
        <w:jc w:val="both"/>
      </w:pPr>
      <w:r>
        <w:t xml:space="preserve">3.2. Риск случайной гибели или повреждения Товара переходит к Покупателю с момента передачи Товара Покупателю (его представителю) на складе Поставщика либо с момента сдачи Товара первому перевозчику (транспортной компании) для доставки Покупателю — в зависимости от того, что наступит раньше (ст. 458, 459 ГК РФ).</w:t>
      </w:r>
    </w:p>
    <w:p>
      <w:pPr>
        <w:pStyle w:val="BodyText"/>
      </w:pPr>
      <w:r>
        <w:t xml:space="preserve">3.3. Обязанность Поставщика передать Товар считается исполненной в момент, указанный в п. 3.2.</w:t>
      </w:r>
    </w:p>
    <w:bookmarkEnd w:id="11"/>
    <w:bookmarkStart w:id="12" w:name="доставка"/>
    <w:p>
      <w:pPr>
        <w:pStyle w:val="Heading2"/>
      </w:pPr>
      <w:r>
        <w:t xml:space="preserve">4. Доставка</w:t>
      </w:r>
    </w:p>
    <w:p>
      <w:pPr>
        <w:pStyle w:val="FirstParagraph"/>
        <w:jc w:val="both"/>
      </w:pPr>
      <w:r>
        <w:t xml:space="preserve">4.1. Способ доставки указывается в Спецификации: самовывоз со склада Поставщика в г. Москве; доставка силами Поставщика по Москве и Московской области; доставка транспортной компанией (ТК) в любой регион России.</w:t>
      </w:r>
    </w:p>
    <w:p>
      <w:pPr>
        <w:pStyle w:val="BodyText"/>
        <w:jc w:val="both"/>
      </w:pPr>
      <w:r>
        <w:t xml:space="preserve">4.2. Стоимость доставки, погрузочно-разгрузочных работ, подъёма на этаж и страхования груза не входит в цену Товара, если иное прямо не указано в Спецификации, и оплачивается Покупателем.</w:t>
      </w:r>
    </w:p>
    <w:p>
      <w:pPr>
        <w:pStyle w:val="BodyText"/>
        <w:jc w:val="both"/>
      </w:pPr>
      <w:r>
        <w:t xml:space="preserve">4.3. При доставке ТК Поставщик выбирает перевозчика по согласованию с Покупателем, упаковывает Товар в транспортную тару, обеспечивающую сохранность при обычных условиях перевозки, и передаёт Покупателю номер отправления. Сроки перевозки определяются перевозчиком; Поставщик не несёт ответственности за действия (бездействие) перевозчика, за сроки и сохранность груза в пути. Претензии, связанные с перевозкой, Покупатель предъявляет перевозчику; Поставщик оказывает содействие и передаёт необходимые документы.</w:t>
      </w:r>
    </w:p>
    <w:p>
      <w:pPr>
        <w:pStyle w:val="BodyText"/>
        <w:jc w:val="both"/>
      </w:pPr>
      <w:r>
        <w:t xml:space="preserve">4.4. Покупатель обязан обеспечить приёмку Товара в согласованную дату, подъездные пути, свободный проход к месту установки, наличие исправной электросети с заземлением и параметрами, требуемыми производителем. Простой транспорта и повторная доставка по вине Покупателя оплачиваются Покупателем.</w:t>
      </w:r>
    </w:p>
    <w:bookmarkEnd w:id="12"/>
    <w:bookmarkStart w:id="13" w:name="приёмка-товара"/>
    <w:p>
      <w:pPr>
        <w:pStyle w:val="Heading2"/>
      </w:pPr>
      <w:r>
        <w:t xml:space="preserve">5. Приёмка Товара</w:t>
      </w:r>
    </w:p>
    <w:p>
      <w:pPr>
        <w:pStyle w:val="FirstParagraph"/>
        <w:jc w:val="both"/>
      </w:pPr>
      <w:r>
        <w:t xml:space="preserve">5.1. Приёмка по количеству мест и внешнему виду упаковки производится Покупателем в момент получения Товара. Повреждения упаковки и недостачу Покупатель обязан отметить в транспортной накладной (накладной ТК) и составить коммерческий акт с перевозчиком. При отсутствии таких отметок Товар считается переданным в надлежащем количестве и без внешних повреждений.</w:t>
      </w:r>
    </w:p>
    <w:p>
      <w:pPr>
        <w:pStyle w:val="BodyText"/>
        <w:jc w:val="both"/>
      </w:pPr>
      <w:r>
        <w:t xml:space="preserve">5.2. Приёмка по качеству и комплектности производится Покупателем в течение</w:t>
      </w:r>
      <w:r>
        <w:t xml:space="preserve"> </w:t>
      </w:r>
      <w:r>
        <w:rPr>
          <w:b/>
          <w:bCs/>
        </w:rPr>
        <w:t xml:space="preserve">5 (пяти) рабочих дней</w:t>
      </w:r>
      <w:r>
        <w:t xml:space="preserve"> </w:t>
      </w:r>
      <w:r>
        <w:t xml:space="preserve">с даты получения Товара. О выявленных несоответствиях Покупатель обязан в этот же срок письменно уведомить Поставщика с приложением фото- и видеоматериалов. По истечении указанного срока при отсутствии письменного уведомления Товар считается принятым по качеству и комплектности без замечаний. Инструкции Госарбитража СССР № П-6 и П-7 Сторонами не применяются.</w:t>
      </w:r>
    </w:p>
    <w:p>
      <w:pPr>
        <w:pStyle w:val="BodyText"/>
        <w:jc w:val="both"/>
      </w:pPr>
      <w:r>
        <w:t xml:space="preserve">5.3. Если Спецификацией предусмотрена пусконаладка, по её завершении Стороны подписывают Акт ввода в эксплуатацию. Покупатель обязан подписать Акт либо направить мотивированный письменный отказ в течение</w:t>
      </w:r>
      <w:r>
        <w:t xml:space="preserve"> </w:t>
      </w:r>
      <w:r>
        <w:rPr>
          <w:b/>
          <w:bCs/>
        </w:rPr>
        <w:t xml:space="preserve">3 (трёх) рабочих дней</w:t>
      </w:r>
      <w:r>
        <w:t xml:space="preserve"> </w:t>
      </w:r>
      <w:r>
        <w:t xml:space="preserve">с даты завершения пусконаладки. При отсутствии подписанного Акта или мотивированного отказа в этот срок, а также при начале эксплуатации Товара Покупателем пусконаладка считается выполненной и принятой.</w:t>
      </w:r>
    </w:p>
    <w:p>
      <w:pPr>
        <w:pStyle w:val="BodyText"/>
        <w:jc w:val="both"/>
      </w:pPr>
      <w:r>
        <w:t xml:space="preserve">5.4. Покупатель уведомлён и согласен, что Товар является</w:t>
      </w:r>
      <w:r>
        <w:t xml:space="preserve"> </w:t>
      </w:r>
      <w:r>
        <w:rPr>
          <w:b/>
          <w:bCs/>
        </w:rPr>
        <w:t xml:space="preserve">восстановленным</w:t>
      </w:r>
      <w:r>
        <w:t xml:space="preserve"> </w:t>
      </w:r>
      <w:r>
        <w:t xml:space="preserve">(бывшим в употреблении и прошедшим заводское восстановление). Следы предыдущей эксплуатации, не влияющие на работоспособность (потёртости, мелкие царапины, различия оттенка пластика), а также показания счётчика отпечатков в пределах, указанных в Спецификации, не являются недостатком Товара.</w:t>
      </w:r>
    </w:p>
    <w:bookmarkEnd w:id="13"/>
    <w:bookmarkStart w:id="14" w:name="гарантия"/>
    <w:p>
      <w:pPr>
        <w:pStyle w:val="Heading2"/>
      </w:pPr>
      <w:r>
        <w:t xml:space="preserve">6. Гарантия</w:t>
      </w:r>
    </w:p>
    <w:p>
      <w:pPr>
        <w:pStyle w:val="FirstParagraph"/>
        <w:jc w:val="both"/>
      </w:pPr>
      <w:r>
        <w:t xml:space="preserve">6.1. Гарантийный срок на оборудование составляет</w:t>
      </w:r>
      <w:r>
        <w:t xml:space="preserve"> </w:t>
      </w:r>
      <w:r>
        <w:rPr>
          <w:b/>
          <w:bCs/>
        </w:rPr>
        <w:t xml:space="preserve">12 (двенадцать) месяцев</w:t>
      </w:r>
      <w:r>
        <w:t xml:space="preserve"> </w:t>
      </w:r>
      <w:r>
        <w:t xml:space="preserve">с даты передачи Товара (даты УПД)</w:t>
      </w:r>
      <w:r>
        <w:t xml:space="preserve"> </w:t>
      </w:r>
      <w:r>
        <w:rPr>
          <w:b/>
          <w:bCs/>
        </w:rPr>
        <w:t xml:space="preserve">или до достижения пробега</w:t>
      </w:r>
      <w:r>
        <w:t xml:space="preserve"> </w:t>
      </w:r>
      <w:r>
        <w:t xml:space="preserve">(количества отпечатков), установленного регламентом производителя / указанного в Спецификации, — в зависимости от того, что наступит раньше.</w:t>
      </w:r>
    </w:p>
    <w:p>
      <w:pPr>
        <w:pStyle w:val="BodyText"/>
        <w:jc w:val="both"/>
      </w:pPr>
      <w:r>
        <w:t xml:space="preserve">6.2. В течение гарантийного срока Поставщик по своему выбору устраняет недостатки путём ремонта или замены неисправного узла (детали). Замена Товара целиком производится только в случае, если недостаток не может быть устранён ремонтом. Срок устранения недостатка — до 30 (тридцати) рабочих дней с даты получения Поставщиком Товара (узла) или обеспечения доступа к нему; при необходимости заказа запчасти у производителя срок увеличивается на срок её поставки, о чём Поставщик уведомляет Покупателя.</w:t>
      </w:r>
    </w:p>
    <w:p>
      <w:pPr>
        <w:pStyle w:val="BodyText"/>
        <w:jc w:val="both"/>
      </w:pPr>
      <w:r>
        <w:t xml:space="preserve">6.3. Гарантийное обслуживание выполняется: в Москве и Московской области — на месте установки; в других регионах — путём удалённой диагностики, направления запасных частей (узлов) и инструкций по замене, либо в сервисном центре Поставщика в г. Москве. Доставка Товара (узлов) в сервисный центр и обратно, а также выезд инженера за пределы Московской области (проезд, проживание, время в пути) оплачиваются Покупателем.</w:t>
      </w:r>
    </w:p>
    <w:p>
      <w:pPr>
        <w:pStyle w:val="BodyText"/>
      </w:pPr>
      <w:r>
        <w:t xml:space="preserve">6.4. Гарантия не распространяется на:</w:t>
      </w:r>
    </w:p>
    <w:p>
      <w:pPr>
        <w:pStyle w:val="Compact"/>
        <w:numPr>
          <w:ilvl w:val="0"/>
          <w:numId w:val="1001"/>
        </w:numPr>
      </w:pPr>
      <w:r>
        <w:t xml:space="preserve">расходные материалы и детали, подверженные износу: тонер, чернила, девелопер, фотобарабаны, блоки проявки, узлы термозакрепления (фьюзеры), термоплёнки, ремни переноса, ракели, ролики подачи и отделения, тормозные площадки, ножи, фильтры, ленты;</w:t>
      </w:r>
    </w:p>
    <w:p>
      <w:pPr>
        <w:pStyle w:val="Compact"/>
        <w:numPr>
          <w:ilvl w:val="0"/>
          <w:numId w:val="1001"/>
        </w:numPr>
      </w:pPr>
      <w:r>
        <w:t xml:space="preserve">недостатки, возникшие из-за применения расходных материалов, бумаги и носителей, не рекомендованных производителем или Поставщиком;</w:t>
      </w:r>
    </w:p>
    <w:p>
      <w:pPr>
        <w:pStyle w:val="Compact"/>
        <w:numPr>
          <w:ilvl w:val="0"/>
          <w:numId w:val="1001"/>
        </w:numPr>
      </w:pPr>
      <w:r>
        <w:t xml:space="preserve">недостатки, вызванные нарушением правил эксплуатации, хранения, транспортировки, перемещением Товара без участия Поставщика, механическими повреждениями, попаданием жидкостей, посторонних предметов, насекомых;</w:t>
      </w:r>
    </w:p>
    <w:p>
      <w:pPr>
        <w:pStyle w:val="Compact"/>
        <w:numPr>
          <w:ilvl w:val="0"/>
          <w:numId w:val="1001"/>
        </w:numPr>
      </w:pPr>
      <w:r>
        <w:t xml:space="preserve">недостатки, вызванные нестабильностью электросети, отсутствием заземления, скачками напряжения, а также работой без стабилизатора/ИБП, если его применение рекомендовано Поставщиком;</w:t>
      </w:r>
    </w:p>
    <w:p>
      <w:pPr>
        <w:pStyle w:val="Compact"/>
        <w:numPr>
          <w:ilvl w:val="0"/>
          <w:numId w:val="1001"/>
        </w:numPr>
      </w:pPr>
      <w:r>
        <w:t xml:space="preserve">Товар, в который вносились изменения, ремонт или вскрытие лицами, не уполномоченными Поставщиком, а также при нарушении гарантийных пломб;</w:t>
      </w:r>
    </w:p>
    <w:p>
      <w:pPr>
        <w:pStyle w:val="Compact"/>
        <w:numPr>
          <w:ilvl w:val="0"/>
          <w:numId w:val="1001"/>
        </w:numPr>
      </w:pPr>
      <w:r>
        <w:t xml:space="preserve">программное обеспечение, сетевые настройки, драйверы, вредоносное ПО, совместимость с оборудованием и ПО Покупателя;</w:t>
      </w:r>
    </w:p>
    <w:p>
      <w:pPr>
        <w:pStyle w:val="Compact"/>
        <w:numPr>
          <w:ilvl w:val="0"/>
          <w:numId w:val="1001"/>
        </w:numPr>
      </w:pPr>
      <w:r>
        <w:t xml:space="preserve">превышение рекомендованной производителем месячной нагрузки (пробега).</w:t>
      </w:r>
    </w:p>
    <w:p>
      <w:pPr>
        <w:pStyle w:val="FirstParagraph"/>
        <w:jc w:val="both"/>
      </w:pPr>
      <w:r>
        <w:t xml:space="preserve">6.5. Гарантийный срок не продлевается и не возобновляется при ремонте или замене узлов, если иное не установлено законом. Гарантия на заменённый узел действует до окончания гарантийного срока на Товар.</w:t>
      </w:r>
    </w:p>
    <w:p>
      <w:pPr>
        <w:pStyle w:val="BodyText"/>
        <w:jc w:val="both"/>
      </w:pPr>
      <w:r>
        <w:t xml:space="preserve">6.6. Для предъявления требования по гарантии Покупатель направляет Поставщику письменную заявку с указанием модели, серийного номера, показаний счётчика, описания неисправности и кодов ошибок. Если по результатам диагностики случай признан негарантийным, Покупатель оплачивает диагностику, выезд и ремонт по действующим расценкам Поставщика.</w:t>
      </w:r>
      <w:r>
        <w:t xml:space="preserve"> </w:t>
      </w:r>
      <w:r>
        <w:t xml:space="preserve">## 7. Ответственность Сторон</w:t>
      </w:r>
    </w:p>
    <w:p>
      <w:pPr>
        <w:pStyle w:val="BodyText"/>
        <w:jc w:val="both"/>
      </w:pPr>
      <w:r>
        <w:t xml:space="preserve">7.1. За просрочку оплаты Покупатель уплачивает Поставщику пени в размере</w:t>
      </w:r>
      <w:r>
        <w:t xml:space="preserve"> </w:t>
      </w:r>
      <w:r>
        <w:rPr>
          <w:b/>
          <w:bCs/>
        </w:rPr>
        <w:t xml:space="preserve">0,1 % (одной десятой процента)</w:t>
      </w:r>
      <w:r>
        <w:t xml:space="preserve"> </w:t>
      </w:r>
      <w:r>
        <w:t xml:space="preserve">от неоплаченной суммы за каждый день просрочки.</w:t>
      </w:r>
    </w:p>
    <w:p>
      <w:pPr>
        <w:pStyle w:val="BodyText"/>
        <w:jc w:val="both"/>
      </w:pPr>
      <w:r>
        <w:t xml:space="preserve">7.2. За просрочку исполнения своих обязательств Поставщик по письменному требованию уплачивает пени в размере 0,01 % (одной сотой процента) от стоимости неисполненного обязательства за каждый день просрочки, но не более 5 % (пяти процентов) от стоимости неисполненного обязательства. Уплата пени является исключительной мерой ответственности Поставщика за просрочку.</w:t>
      </w:r>
    </w:p>
    <w:p>
      <w:pPr>
        <w:pStyle w:val="BodyText"/>
        <w:jc w:val="both"/>
      </w:pPr>
      <w:r>
        <w:t xml:space="preserve">7.3. Совокупная ответственность Поставщика по Договору ограничивается суммой реального ущерба и не может превышать стоимости Товара по соответствующей Спецификации. Упущенная выгода, косвенные убытки, убытки от простоя производства, потери данных и штрафы, наложенные на Покупателя третьими лицами, возмещению не подлежат. Ограничение не применяется к умышленному нарушению обязательств (п. 4 ст. 401 ГК РФ).</w:t>
      </w:r>
    </w:p>
    <w:p>
      <w:pPr>
        <w:pStyle w:val="BodyText"/>
        <w:jc w:val="both"/>
      </w:pPr>
      <w:r>
        <w:t xml:space="preserve">7.4. Проценты на сумму предварительной оплаты (аванса), а также проценты по ст. 317.1 ГК РФ на суммы обязательств Сторон не начисляются.</w:t>
      </w:r>
    </w:p>
    <w:p>
      <w:pPr>
        <w:pStyle w:val="BodyText"/>
        <w:jc w:val="both"/>
      </w:pPr>
      <w:r>
        <w:t xml:space="preserve">7.5. Поставщик вправе приостановить исполнение своих обязательств (в том числе поставку, выполнение работ, гарантийное и сервисное обслуживание) при просрочке Покупателем любого платежа по Договору до полного погашения задолженности (ст. 328 ГК РФ). Сроки исполнения обязательств Поставщика при этом соразмерно продлеваются.</w:t>
      </w:r>
    </w:p>
    <w:p>
      <w:pPr>
        <w:pStyle w:val="BodyText"/>
        <w:jc w:val="both"/>
      </w:pPr>
      <w:r>
        <w:t xml:space="preserve">7.6. Неустойка начисляется только при предъявлении письменного требования. Поставщик вправе удержать сумму начисленной неустойки и иных платежей, причитающихся ему по Договору, из сумм, подлежащих возврату Покупателю.</w:t>
      </w:r>
      <w:r>
        <w:t xml:space="preserve"> </w:t>
      </w:r>
      <w:r>
        <w:t xml:space="preserve">## 8. Обстоятельства непреодолимой силы</w:t>
      </w:r>
    </w:p>
    <w:p>
      <w:pPr>
        <w:pStyle w:val="BodyText"/>
        <w:jc w:val="both"/>
      </w:pPr>
      <w:r>
        <w:t xml:space="preserve">8.1. Стороны освобождаются от ответственности за неисполнение обязательств, вызванное обстоятельствами непреодолимой силы, в том числе: стихийными бедствиями, пожарами, эпидемиями, военными действиями, актами органов власти, введением санкций и ограничительных мер, запретами и ограничениями импорта/экспорта, изменением таможенных правил и задержками таможенного оформления, остановкой работы портов, железных дорог и транспортных компаний.</w:t>
      </w:r>
    </w:p>
    <w:p>
      <w:pPr>
        <w:pStyle w:val="BodyText"/>
        <w:jc w:val="both"/>
      </w:pPr>
      <w:r>
        <w:t xml:space="preserve">8.2. Сторона, для которой наступили такие обстоятельства, уведомляет другую Сторону в течение 10 (десяти) рабочих дней. Срок исполнения обязательств продлевается на время действия обстоятельств. Если они длятся более 90 (девяноста) календарных дней, каждая Сторона вправе отказаться от Договора с проведением взаиморасчётов за фактически исполненное.</w:t>
      </w:r>
    </w:p>
    <w:bookmarkEnd w:id="14"/>
    <w:bookmarkStart w:id="15" w:name="порядок-разрешения-споров"/>
    <w:p>
      <w:pPr>
        <w:pStyle w:val="Heading2"/>
      </w:pPr>
      <w:r>
        <w:t xml:space="preserve">9. Порядок разрешения споров</w:t>
      </w:r>
    </w:p>
    <w:p>
      <w:pPr>
        <w:pStyle w:val="FirstParagraph"/>
      </w:pPr>
      <w:r>
        <w:t xml:space="preserve">9.1. Претензионный порядок обязателен. Срок ответа на претензию — 10 (десять) рабочих дней с даты её получения.</w:t>
      </w:r>
    </w:p>
    <w:p>
      <w:pPr>
        <w:pStyle w:val="BodyText"/>
      </w:pPr>
      <w:r>
        <w:t xml:space="preserve">9.2. Споры, не урегулированные в претензионном порядке, передаются на рассмотрение</w:t>
      </w:r>
      <w:r>
        <w:t xml:space="preserve"> </w:t>
      </w:r>
      <w:r>
        <w:rPr>
          <w:b/>
          <w:bCs/>
        </w:rPr>
        <w:t xml:space="preserve">Арбитражного суда города Москвы</w:t>
      </w:r>
      <w:r>
        <w:t xml:space="preserve">.</w:t>
      </w:r>
    </w:p>
    <w:bookmarkEnd w:id="15"/>
    <w:bookmarkStart w:id="16" w:name="заключительные-положения"/>
    <w:p>
      <w:pPr>
        <w:pStyle w:val="Heading2"/>
      </w:pPr>
      <w:r>
        <w:t xml:space="preserve">10. Заключительные положения</w:t>
      </w:r>
    </w:p>
    <w:p>
      <w:pPr>
        <w:pStyle w:val="FirstParagraph"/>
        <w:jc w:val="both"/>
      </w:pPr>
      <w:r>
        <w:t xml:space="preserve">10.1. Договор, Спецификации, заявки, счета, акты, УПД и уведомления могут подписываться и передаваться посредством электронного документооборота (ЭДО) либо в виде сканированных копий по адресам электронной почты, указанным в разделе реквизитов. Такие документы имеют юридическую силу до обмена оригиналами. Сообщение считается полученным в день его отправки на e-mail Стороны, указанный в Договоре.</w:t>
      </w:r>
    </w:p>
    <w:p>
      <w:pPr>
        <w:pStyle w:val="BodyText"/>
        <w:jc w:val="both"/>
      </w:pPr>
      <w:r>
        <w:t xml:space="preserve">10.2. Сторона обязана в течение 3 (трёх) рабочих дней уведомить другую Сторону об изменении реквизитов, адреса, e-mail. До получения уведомления исполнение по прежним реквизитам считается надлежащим.</w:t>
      </w:r>
    </w:p>
    <w:p>
      <w:pPr>
        <w:pStyle w:val="BodyText"/>
        <w:jc w:val="both"/>
      </w:pPr>
      <w:r>
        <w:t xml:space="preserve">10.3. Покупатель (Заказчик) не вправе уступать права требования по Договору третьим лицам без письменного согласия Поставщика (Исполнителя).</w:t>
      </w:r>
    </w:p>
    <w:p>
      <w:pPr>
        <w:pStyle w:val="BodyText"/>
        <w:jc w:val="both"/>
      </w:pPr>
      <w:r>
        <w:t xml:space="preserve">10.4. Подписанием Договора Стороны подтверждают, что его условия обсуждены и приняты ими добровольно, ни одна из Сторон не является слабой стороной Договора, положения ст. 428 ГК РФ к Договору не применяются.</w:t>
      </w:r>
    </w:p>
    <w:p>
      <w:pPr>
        <w:pStyle w:val="BodyText"/>
        <w:jc w:val="both"/>
      </w:pPr>
      <w:r>
        <w:t xml:space="preserve">10.5. Во всём, что не предусмотрено Договором, Стороны руководствуются законодательством Российской Федерации. Договор составлен в двух экземплярах, имеющих равную юридическую силу.</w:t>
      </w:r>
    </w:p>
    <w:bookmarkEnd w:id="16"/>
    <w:bookmarkStart w:id="17" w:name="срок-действия-договора"/>
    <w:p>
      <w:pPr>
        <w:pStyle w:val="Heading2"/>
      </w:pPr>
      <w:r>
        <w:t xml:space="preserve">11. Срок действия Договора</w:t>
      </w:r>
    </w:p>
    <w:p>
      <w:pPr>
        <w:pStyle w:val="FirstParagraph"/>
        <w:jc w:val="both"/>
      </w:pPr>
      <w:r>
        <w:t xml:space="preserve">11.1. Договор вступает в силу с даты подписания и действует до 31 декабря 20__ г., а в части расчётов и гарантийных обязательств — до их полного исполнения. Если ни одна из Сторон за 30 (тридцать) дней до окончания срока не заявит о прекращении, Договор продлевается на каждый следующий календарный год.</w:t>
      </w:r>
    </w:p>
    <w:p>
      <w:pPr>
        <w:pStyle w:val="BodyText"/>
        <w:jc w:val="both"/>
      </w:pPr>
      <w:r>
        <w:t xml:space="preserve">11.2. Покупатель не вправе в одностороннем порядке отказаться от оплаченной и переданной перевозчику Спецификации. Возврат Товара надлежащего качества не производится.</w:t>
      </w:r>
    </w:p>
    <w:bookmarkEnd w:id="17"/>
    <w:bookmarkStart w:id="18" w:name="реквизиты-и-подписи-сторон"/>
    <w:p>
      <w:pPr>
        <w:pStyle w:val="Heading2"/>
      </w:pPr>
      <w:r>
        <w:t xml:space="preserve">12. Реквизиты и подписи Сторон</w:t>
      </w:r>
    </w:p>
    <w:p>
      <w:pPr>
        <w:pStyle w:val="FirstParagraph"/>
      </w:pPr>
      <w:r>
        <w:rPr>
          <w:b/>
          <w:bCs/>
        </w:rPr>
        <w:t xml:space="preserve">Поставщик:</w:t>
      </w:r>
      <w:r>
        <w:br/>
      </w:r>
      <w:r>
        <w:t xml:space="preserve">ИП Горелкин Михаил Александрович</w:t>
      </w:r>
      <w:r>
        <w:br/>
      </w:r>
      <w:r>
        <w:t xml:space="preserve">ИНН 773377244708, ОГРНИП ______________</w:t>
      </w:r>
      <w:r>
        <w:br/>
      </w:r>
      <w:r>
        <w:t xml:space="preserve">Адрес: г. Москва, бульвар Яна Райниса, д. 7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+7 (495) 236-72-88, e-mail: hello@tonerium.ru</w:t>
      </w:r>
      <w:r>
        <w:br/>
      </w:r>
      <w:r>
        <w:br/>
      </w:r>
      <w:r>
        <w:t xml:space="preserve">_______________ / М. А. Горелкин /</w:t>
      </w:r>
    </w:p>
    <w:p>
      <w:pPr>
        <w:pStyle w:val="BodyText"/>
      </w:pPr>
      <w:r>
        <w:rPr>
          <w:b/>
          <w:bCs/>
        </w:rPr>
        <w:t xml:space="preserve">Покупатель:</w:t>
      </w:r>
      <w:r>
        <w:br/>
      </w:r>
      <w:r>
        <w:t xml:space="preserve">______________________________</w:t>
      </w:r>
      <w:r>
        <w:br/>
      </w:r>
      <w:r>
        <w:t xml:space="preserve">ИНН ______________, КПП ______________</w:t>
      </w:r>
      <w:r>
        <w:br/>
      </w:r>
      <w:r>
        <w:t xml:space="preserve">ОГРН / ОГРНИП ______________</w:t>
      </w:r>
      <w:r>
        <w:br/>
      </w:r>
      <w:r>
        <w:t xml:space="preserve">Адрес: ______________________________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______________, e-mail: ______________</w:t>
      </w:r>
      <w:r>
        <w:br/>
      </w:r>
      <w:r>
        <w:br/>
      </w:r>
      <w:r>
        <w:t xml:space="preserve">_______________ / ______________ /</w:t>
      </w:r>
    </w:p>
    <w:p>
      <w:r>
        <w:pict>
          <v:rect style="width:0;height:1.5pt" o:hralign="center" o:hrstd="t" o:hr="t"/>
        </w:pict>
      </w:r>
    </w:p>
    <w:bookmarkEnd w:id="18"/>
    <w:bookmarkStart w:id="19" w:name="X77faf543fd6dbe97ac93e1b46c0dc70d10c427b"/>
    <w:p>
      <w:pPr>
        <w:pStyle w:val="Heading2"/>
      </w:pPr>
      <w:r>
        <w:t xml:space="preserve">Приложение № 1 — Спецификация № ___ от «___» ____________ 20__ г.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№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Наименование (модель)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Комплектация / опции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Серийный номер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Пробег (счётчик), отпечатков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Кол-во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Цена, руб. (в т. ч. НДС)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Сумма, руб. (в т. ч. НДС)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базовая / с опциями: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Итого:</w:t>
      </w:r>
      <w:r>
        <w:t xml:space="preserve"> </w:t>
      </w:r>
      <w:r>
        <w:t xml:space="preserve">____________ руб., в том числе НДС по ставке, установленной НК РФ, ____________ руб.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Наличие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на складе Поставщика, г. Москва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Срок передачи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 рабочих дней с даты оплаты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Способ доставки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самовывоз / доставка Поставщиком по Москве и МО / ТК до терминала / ТК до двери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Адрес доставки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Стоимость доставки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входит / не входит в цену; 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Пусконаладка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не требуется / на месте / удалённо; 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Гарантийный пробег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до ________ отпечатков (или 12 месяцев, что наступит раньше)</w:t>
            </w:r>
          </w:p>
        </w:tc>
      </w:tr>
    </w:tbl>
    <w:p>
      <w:pPr>
        <w:pStyle w:val="BodyText"/>
      </w:pPr>
      <w:r>
        <w:t xml:space="preserve">Поставщик: _______________ / М. А. Горелкин / Покупатель: _______________ / ______________ /</w:t>
      </w:r>
    </w:p>
    <w:bookmarkEnd w:id="19"/>
    <w:bookmarkEnd w:id="20"/>
    <w:sectPr>
      <w:headerReference w:type="default" r:id="rId9"/>
      <w:footerReference w:type="default" r:id="rId10"/>
      <w:footnotePr>
        <w:numRestart w:val="eachSect"/>
      </w:footnotePr>
      <w:pgMar w:top="1020" w:bottom="1020" w:left="1247" w:right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175"/>
        <w:sz w:val="15"/>
      </w:rPr>
      <w:t>Образец. Перед подписанием условия проверяются юристом и адаптируются под конкретную сделку.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175"/>
        <w:sz w:val="16"/>
      </w:rPr>
      <w:t>ТОНЕРИУМ · ИП Горелкин М. А. · ИНН 773377244708 · +7 (495) 236-72-88 · hello@tonerium.ru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styleId="BodyText" w:type="paragraph">
    <w:name w:val="Body Text"/>
    <w:basedOn w:val="Normal"/>
    <w:link w:val="BodyTextChar"/>
    <w:qFormat/>
    <w:pPr>
      <w:spacing w:after="80" w:before="180" w:line="259" w:lineRule="auto"/>
    </w:pPr>
    <w:rPr>
      <w:rFonts w:ascii="Times New Roman" w:hAnsi="Times New Roman" w:eastAsia="Times New Roman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customStyle="1" w:styleId="Compact" w:type="paragraph">
    <w:name w:val="Compact"/>
    <w:basedOn w:val="BodyText"/>
    <w:qFormat/>
    <w:pPr>
      <w:spacing w:after="80" w:before="36" w:line="259" w:lineRule="auto"/>
    </w:pPr>
    <w:rPr>
      <w:rFonts w:ascii="Times New Roman" w:hAnsi="Times New Roman" w:eastAsia="Times New Roman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0"/>
      <w:outlineLvl w:val="0"/>
    </w:pPr>
    <w:rPr>
      <w:rFonts w:asciiTheme="majorHAnsi" w:cstheme="majorBidi" w:eastAsiaTheme="majorEastAsia" w:hAnsiTheme="majorHAnsi" w:ascii="Times New Roman" w:hAnsi="Times New Roman"/>
      <w:b/>
      <w:color w:val="132248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200"/>
      <w:outlineLvl w:val="1"/>
    </w:pPr>
    <w:rPr>
      <w:rFonts w:asciiTheme="majorHAnsi" w:cstheme="majorBidi" w:eastAsiaTheme="majorEastAsia" w:hAnsiTheme="majorHAnsi" w:ascii="Times New Roman" w:hAnsi="Times New Roman"/>
      <w:b/>
      <w:color w:val="132248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со склада</dc:title>
  <dc:creator>Тонериум</dc:creator>
  <cp:keywords/>
  <dcterms:created xsi:type="dcterms:W3CDTF">2026-10-16T13:53:42Z</dcterms:created>
  <dcterms:modified xsi:type="dcterms:W3CDTF">2026-10-16T13:53:42Z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