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договор-поставки-под-заказ-___"/>
    <w:p>
      <w:pPr>
        <w:pStyle w:val="Heading1"/>
        <w:jc w:val="center"/>
      </w:pPr>
      <w:r>
        <w:t xml:space="preserve">Договор поставки под заказ № ___</w:t>
      </w:r>
    </w:p>
    <w:p>
      <w:pPr>
        <w:pStyle w:val="FirstParagraph"/>
        <w:jc w:val="center"/>
      </w:pPr>
      <w:r>
        <w:t xml:space="preserve">закупка оборудования Поставщиком за счёт собственных средств с обеспечительным платежом Покупателя</w:t>
      </w:r>
    </w:p>
    <w:p>
      <w:pPr>
        <w:pStyle w:val="BodyText"/>
        <w:jc w:val="center"/>
      </w:pPr>
      <w:r>
        <w:t xml:space="preserve">г. Москва — «___» ____________ 20__ г.</w:t>
      </w:r>
    </w:p>
    <w:p>
      <w:pPr>
        <w:pStyle w:val="BodyText"/>
        <w:jc w:val="both"/>
      </w:pPr>
      <w:r>
        <w:t xml:space="preserve">Индивидуальный предприниматель Горелкин Михаил Александрович, ИНН 773377244708, ОГРНИП ______________, действующий от своего имени, именуемый в дальнейшем</w:t>
      </w:r>
      <w:r>
        <w:t xml:space="preserve"> </w:t>
      </w:r>
      <w:r>
        <w:rPr>
          <w:b/>
          <w:bCs/>
        </w:rPr>
        <w:t xml:space="preserve">«Поставщик»</w:t>
      </w:r>
      <w:r>
        <w:t xml:space="preserve">, с одной стороны, и ______________________________ в лице ______________________________, действующего на основании ______________, именуемое в дальнейшем</w:t>
      </w:r>
      <w:r>
        <w:t xml:space="preserve"> </w:t>
      </w:r>
      <w:r>
        <w:rPr>
          <w:b/>
          <w:bCs/>
        </w:rPr>
        <w:t xml:space="preserve">«Покупатель»</w:t>
      </w:r>
      <w:r>
        <w:t xml:space="preserve">, с другой стороны, совместно именуемые «Стороны», заключили настоящий договор (далее — «Договор») о нижеследующем.</w:t>
      </w:r>
    </w:p>
    <w:bookmarkStart w:id="9" w:name="предмет-договора"/>
    <w:p>
      <w:pPr>
        <w:pStyle w:val="Heading2"/>
      </w:pPr>
      <w:r>
        <w:t xml:space="preserve">1. Предмет Договора</w:t>
      </w:r>
    </w:p>
    <w:p>
      <w:pPr>
        <w:pStyle w:val="FirstParagraph"/>
        <w:jc w:val="both"/>
      </w:pPr>
      <w:r>
        <w:t xml:space="preserve">1.1. Поставщик по заказу Покупателя закупает у производителя (завода-партнёра) за счёт собственных средств и передаёт в собственность Покупателя печатное оборудование, запасные части и/или расходные материалы (далее — «Товар»), а Покупатель обязуется принять и оплатить Товар на условиях Договора.</w:t>
      </w:r>
    </w:p>
    <w:p>
      <w:pPr>
        <w:pStyle w:val="BodyText"/>
        <w:jc w:val="both"/>
      </w:pPr>
      <w:r>
        <w:t xml:space="preserve">1.2. Наименование, модель, комплектация (базовая или с опциями), ориентировочный пробег, количество, цена, размер обеспечительного платежа, ориентировочный срок поставки и способ доставки указываются в Спецификации (Приложение № 1). Товар заказывается специально для Покупателя по его индивидуальным требованиям.</w:t>
      </w:r>
    </w:p>
    <w:bookmarkEnd w:id="9"/>
    <w:bookmarkStart w:id="10" w:name="цена-и-порядок-расчётов"/>
    <w:p>
      <w:pPr>
        <w:pStyle w:val="Heading2"/>
      </w:pPr>
      <w:r>
        <w:t xml:space="preserve">2. Цена и порядок расчётов</w:t>
      </w:r>
    </w:p>
    <w:p>
      <w:pPr>
        <w:pStyle w:val="FirstParagraph"/>
      </w:pPr>
      <w:r>
        <w:t xml:space="preserve">2.1. Цена Товара указывается в Спецификации в рублях и включает НДС по ставке, установленной НК РФ.</w:t>
      </w:r>
    </w:p>
    <w:p>
      <w:pPr>
        <w:pStyle w:val="BodyText"/>
        <w:jc w:val="both"/>
      </w:pPr>
      <w:r>
        <w:t xml:space="preserve">2.2. В течение</w:t>
      </w:r>
      <w:r>
        <w:t xml:space="preserve"> </w:t>
      </w:r>
      <w:r>
        <w:rPr>
          <w:b/>
          <w:bCs/>
        </w:rPr>
        <w:t xml:space="preserve">3 (трёх) рабочих дней</w:t>
      </w:r>
      <w:r>
        <w:t xml:space="preserve"> </w:t>
      </w:r>
      <w:r>
        <w:t xml:space="preserve">с даты подписания Спецификации Покупатель вносит</w:t>
      </w:r>
      <w:r>
        <w:t xml:space="preserve"> </w:t>
      </w:r>
      <w:r>
        <w:rPr>
          <w:b/>
          <w:bCs/>
        </w:rPr>
        <w:t xml:space="preserve">обеспечительный платёж</w:t>
      </w:r>
      <w:r>
        <w:t xml:space="preserve"> </w:t>
      </w:r>
      <w:r>
        <w:t xml:space="preserve">(ст. 381.1 ГК РФ) в размере, указанном в Спецификации, но не менее</w:t>
      </w:r>
      <w:r>
        <w:t xml:space="preserve"> </w:t>
      </w:r>
      <w:r>
        <w:rPr>
          <w:b/>
          <w:bCs/>
        </w:rPr>
        <w:t xml:space="preserve">30 % (тридцати процентов)</w:t>
      </w:r>
      <w:r>
        <w:t xml:space="preserve"> </w:t>
      </w:r>
      <w:r>
        <w:t xml:space="preserve">стоимости Товара. Обеспечительный платёж обеспечивает исполнение Покупателем обязательств по приёмке и оплате Товара и при надлежащем исполнении засчитывается в счёт оплаты Товара. Поставщик размещает заказ у производителя только после поступления обеспечительного платежа.</w:t>
      </w:r>
    </w:p>
    <w:p>
      <w:pPr>
        <w:pStyle w:val="BodyText"/>
        <w:jc w:val="both"/>
      </w:pPr>
      <w:r>
        <w:t xml:space="preserve">2.3. Оставшуюся часть стоимости Товара Покупатель оплачивает в течение</w:t>
      </w:r>
      <w:r>
        <w:t xml:space="preserve"> </w:t>
      </w:r>
      <w:r>
        <w:rPr>
          <w:b/>
          <w:bCs/>
        </w:rPr>
        <w:t xml:space="preserve">5 (пяти) рабочих дней</w:t>
      </w:r>
      <w:r>
        <w:t xml:space="preserve"> </w:t>
      </w:r>
      <w:r>
        <w:t xml:space="preserve">с даты получения уведомления Поставщика о поступлении Товара на склад в г. Москве и до его отгрузки. Отгрузка Товара производится только после полной оплаты.</w:t>
      </w:r>
    </w:p>
    <w:p>
      <w:pPr>
        <w:pStyle w:val="BodyText"/>
        <w:jc w:val="both"/>
      </w:pPr>
      <w:r>
        <w:t xml:space="preserve">2.4. Если до поступления Товара на склад курс китайского юаня или доллара США, установленный ЦБ РФ, вырос более чем на 5 % (пять процентов) по сравнению с курсом на дату подписания Спецификации, Поставщик вправе пропорционально увеличить цену Товара, уведомив Покупателя. В этом случае Покупатель вправе в течение 3 (трёх) рабочих дней отказаться от Спецификации с возвратом обеспечительного платежа за вычетом документально подтверждённых расходов Поставщика по заказу; при отсутствии отказа в этот срок новая цена считается согласованной.</w:t>
      </w:r>
    </w:p>
    <w:p>
      <w:pPr>
        <w:pStyle w:val="BodyText"/>
        <w:jc w:val="both"/>
      </w:pPr>
      <w:r>
        <w:t xml:space="preserve">2.5. Обязательство по оплате считается исполненным с момента зачисления денежных средств на расчётный счёт Поставщика. Проценты на сумму обеспечительного платежа не начисляются.</w:t>
      </w:r>
    </w:p>
    <w:bookmarkEnd w:id="10"/>
    <w:bookmarkStart w:id="11" w:name="X650f6c6914885f98419852f92a1fbd6d82501e7"/>
    <w:p>
      <w:pPr>
        <w:pStyle w:val="Heading2"/>
      </w:pPr>
      <w:r>
        <w:t xml:space="preserve">3. Срок поставки и последствия отказа Покупателя</w:t>
      </w:r>
    </w:p>
    <w:p>
      <w:pPr>
        <w:pStyle w:val="FirstParagraph"/>
        <w:jc w:val="both"/>
      </w:pPr>
      <w:r>
        <w:t xml:space="preserve">3.1. Срок поставки, указанный в Спецификации, является</w:t>
      </w:r>
      <w:r>
        <w:t xml:space="preserve"> </w:t>
      </w:r>
      <w:r>
        <w:rPr>
          <w:b/>
          <w:bCs/>
        </w:rPr>
        <w:t xml:space="preserve">ориентировочным</w:t>
      </w:r>
      <w:r>
        <w:t xml:space="preserve"> </w:t>
      </w:r>
      <w:r>
        <w:t xml:space="preserve">и исчисляется с даты поступления обеспечительного платежа. Поставщик вправе продлить срок поставки не более чем на 30 (тридцать) календарных дней без применения к нему мер ответственности, уведомив Покупателя, если задержка вызвана производителем, перевозчиком, таможенным оформлением или иными обстоятельствами, не зависящими от Поставщика.</w:t>
      </w:r>
    </w:p>
    <w:p>
      <w:pPr>
        <w:pStyle w:val="BodyText"/>
        <w:jc w:val="both"/>
      </w:pPr>
      <w:r>
        <w:t xml:space="preserve">3.2. Поставщик вправе передать Товар досрочно, а также поставить Товар, комплектация или внешний вид которого незначительно отличаются от указанных в Спецификации (иная ревизия модели, аналогичный по функциям узел), при условии сохранения основных потребительских характеристик.</w:t>
      </w:r>
    </w:p>
    <w:p>
      <w:pPr>
        <w:pStyle w:val="BodyText"/>
        <w:jc w:val="both"/>
      </w:pPr>
      <w:r>
        <w:t xml:space="preserve">3.3. Поскольку Товар закупается специально для Покупателя, Покупатель вправе отказаться от Спецификации после внесения обеспечительного платежа только при условии уплаты Поставщику</w:t>
      </w:r>
      <w:r>
        <w:t xml:space="preserve"> </w:t>
      </w:r>
      <w:r>
        <w:rPr>
          <w:b/>
          <w:bCs/>
        </w:rPr>
        <w:t xml:space="preserve">платы за отказ</w:t>
      </w:r>
      <w:r>
        <w:t xml:space="preserve"> </w:t>
      </w:r>
      <w:r>
        <w:t xml:space="preserve">(п. 3 ст. 310 ГК РФ) в размере</w:t>
      </w:r>
      <w:r>
        <w:t xml:space="preserve"> </w:t>
      </w:r>
      <w:r>
        <w:rPr>
          <w:b/>
          <w:bCs/>
        </w:rPr>
        <w:t xml:space="preserve">30 % (тридцати процентов)</w:t>
      </w:r>
      <w:r>
        <w:t xml:space="preserve"> </w:t>
      </w:r>
      <w:r>
        <w:t xml:space="preserve">стоимости Товара. Плата за отказ удерживается из обеспечительного платежа.</w:t>
      </w:r>
    </w:p>
    <w:p>
      <w:pPr>
        <w:pStyle w:val="BodyText"/>
        <w:jc w:val="both"/>
      </w:pPr>
      <w:r>
        <w:t xml:space="preserve">3.4. Если Покупатель не оплатил остаток стоимости в срок по п. 2.3 либо уклоняется от получения Товара более 10 (десяти) рабочих дней с даты уведомления о готовности, Поставщик вправе по своему выбору:</w:t>
      </w:r>
    </w:p>
    <w:p>
      <w:pPr>
        <w:pStyle w:val="Compact"/>
        <w:numPr>
          <w:ilvl w:val="0"/>
          <w:numId w:val="1001"/>
        </w:numPr>
      </w:pPr>
      <w:r>
        <w:t xml:space="preserve">(а) требовать оплаты Товара и уплаты неустойки по Договору; при этом Покупатель дополнительно оплачивает хранение Товара в размере 0,1 % (одной десятой процента) от его стоимости за каждый день хранения;</w:t>
      </w:r>
    </w:p>
    <w:p>
      <w:pPr>
        <w:pStyle w:val="Compact"/>
        <w:numPr>
          <w:ilvl w:val="0"/>
          <w:numId w:val="1001"/>
        </w:numPr>
      </w:pPr>
      <w:r>
        <w:t xml:space="preserve">(б) отказаться от исполнения Спецификации в одностороннем порядке, удержать обеспечительный платёж в качестве штрафа и реализовать Товар третьим лицам. Удержание обеспечительного платежа не лишает Поставщика права требовать возмещения убытков в части, не покрытой штрафом.</w:t>
      </w:r>
    </w:p>
    <w:p>
      <w:pPr>
        <w:pStyle w:val="FirstParagraph"/>
        <w:jc w:val="both"/>
      </w:pPr>
      <w:r>
        <w:t xml:space="preserve">3.5. Если Поставщик не передал Товар в течение 60 (шестидесяти) календарных дней после истечения срока поставки (с учётом продления по п. 3.1), Покупатель вправе отказаться от Спецификации с возвратом обеспечительного платежа в полном объёме в течение 10 (десяти) рабочих дней. Возврат обеспечительного платежа является единственным последствием такого отказа.</w:t>
      </w:r>
    </w:p>
    <w:bookmarkEnd w:id="11"/>
    <w:bookmarkStart w:id="12" w:name="переход-права-собственности-и-рисков"/>
    <w:p>
      <w:pPr>
        <w:pStyle w:val="Heading2"/>
      </w:pPr>
      <w:r>
        <w:t xml:space="preserve">4. Переход права собственности и рисков</w:t>
      </w:r>
    </w:p>
    <w:p>
      <w:pPr>
        <w:pStyle w:val="FirstParagraph"/>
        <w:jc w:val="both"/>
      </w:pPr>
      <w:r>
        <w:t xml:space="preserve">4.1. Право собственности на Товар переходит к Покупателю с момента</w:t>
      </w:r>
      <w:r>
        <w:t xml:space="preserve"> </w:t>
      </w:r>
      <w:r>
        <w:rPr>
          <w:b/>
          <w:bCs/>
        </w:rPr>
        <w:t xml:space="preserve">полной оплаты</w:t>
      </w:r>
      <w:r>
        <w:t xml:space="preserve"> </w:t>
      </w:r>
      <w:r>
        <w:t xml:space="preserve">Товара по соответствующей Спецификации (ст. 491 ГК РФ). До полной оплаты Покупатель не вправе отчуждать Товар, передавать его в залог или иным образом распоряжаться им.</w:t>
      </w:r>
    </w:p>
    <w:p>
      <w:pPr>
        <w:pStyle w:val="BodyText"/>
        <w:jc w:val="both"/>
      </w:pPr>
      <w:r>
        <w:t xml:space="preserve">4.2. Риск случайной гибели или повреждения Товара переходит к Покупателю с момента передачи Товара Покупателю (его представителю) на складе Поставщика либо с момента сдачи Товара первому перевозчику (транспортной компании) для доставки Покупателю — в зависимости от того, что наступит раньше (ст. 458, 459 ГК РФ).</w:t>
      </w:r>
    </w:p>
    <w:p>
      <w:pPr>
        <w:pStyle w:val="BodyText"/>
      </w:pPr>
      <w:r>
        <w:t xml:space="preserve">4.3. Обязанность Поставщика передать Товар считается исполненной в момент, указанный в п. 4.2.</w:t>
      </w:r>
    </w:p>
    <w:bookmarkEnd w:id="12"/>
    <w:bookmarkStart w:id="13" w:name="доставка"/>
    <w:p>
      <w:pPr>
        <w:pStyle w:val="Heading2"/>
      </w:pPr>
      <w:r>
        <w:t xml:space="preserve">5. Доставка</w:t>
      </w:r>
    </w:p>
    <w:p>
      <w:pPr>
        <w:pStyle w:val="FirstParagraph"/>
        <w:jc w:val="both"/>
      </w:pPr>
      <w:r>
        <w:t xml:space="preserve">5.1. Способ доставки указывается в Спецификации: самовывоз со склада Поставщика в г. Москве; доставка силами Поставщика по Москве и Московской области; доставка транспортной компанией (ТК) в любой регион России.</w:t>
      </w:r>
    </w:p>
    <w:p>
      <w:pPr>
        <w:pStyle w:val="BodyText"/>
        <w:jc w:val="both"/>
      </w:pPr>
      <w:r>
        <w:t xml:space="preserve">5.2. Стоимость доставки, погрузочно-разгрузочных работ, подъёма на этаж и страхования груза не входит в цену Товара, если иное прямо не указано в Спецификации, и оплачивается Покупателем.</w:t>
      </w:r>
    </w:p>
    <w:p>
      <w:pPr>
        <w:pStyle w:val="BodyText"/>
        <w:jc w:val="both"/>
      </w:pPr>
      <w:r>
        <w:t xml:space="preserve">5.3. При доставке ТК Поставщик выбирает перевозчика по согласованию с Покупателем, упаковывает Товар в транспортную тару, обеспечивающую сохранность при обычных условиях перевозки, и передаёт Покупателю номер отправления. Сроки перевозки определяются перевозчиком; Поставщик не несёт ответственности за действия (бездействие) перевозчика, за сроки и сохранность груза в пути. Претензии, связанные с перевозкой, Покупатель предъявляет перевозчику; Поставщик оказывает содействие и передаёт необходимые документы.</w:t>
      </w:r>
    </w:p>
    <w:p>
      <w:pPr>
        <w:pStyle w:val="BodyText"/>
        <w:jc w:val="both"/>
      </w:pPr>
      <w:r>
        <w:t xml:space="preserve">5.4. Покупатель обязан обеспечить приёмку Товара в согласованную дату, подъездные пути, свободный проход к месту установки, наличие исправной электросети с заземлением и параметрами, требуемыми производителем. Простой транспорта и повторная доставка по вине Покупателя оплачиваются Покупателем.</w:t>
      </w:r>
    </w:p>
    <w:bookmarkEnd w:id="13"/>
    <w:bookmarkStart w:id="14" w:name="приёмка-товара"/>
    <w:p>
      <w:pPr>
        <w:pStyle w:val="Heading2"/>
      </w:pPr>
      <w:r>
        <w:t xml:space="preserve">6. Приёмка Товара</w:t>
      </w:r>
    </w:p>
    <w:p>
      <w:pPr>
        <w:pStyle w:val="FirstParagraph"/>
        <w:jc w:val="both"/>
      </w:pPr>
      <w:r>
        <w:t xml:space="preserve">6.1. Приёмка по количеству мест и внешнему виду упаковки производится Покупателем в момент получения Товара. Повреждения упаковки и недостачу Покупатель обязан отметить в транспортной накладной (накладной ТК) и составить коммерческий акт с перевозчиком. При отсутствии таких отметок Товар считается переданным в надлежащем количестве и без внешних повреждений.</w:t>
      </w:r>
    </w:p>
    <w:p>
      <w:pPr>
        <w:pStyle w:val="BodyText"/>
        <w:jc w:val="both"/>
      </w:pPr>
      <w:r>
        <w:t xml:space="preserve">6.2. Приёмка по качеству и комплектности производится Покупателем в течение</w:t>
      </w:r>
      <w:r>
        <w:t xml:space="preserve"> </w:t>
      </w:r>
      <w:r>
        <w:rPr>
          <w:b/>
          <w:bCs/>
        </w:rPr>
        <w:t xml:space="preserve">5 (пяти) рабочих дней</w:t>
      </w:r>
      <w:r>
        <w:t xml:space="preserve"> </w:t>
      </w:r>
      <w:r>
        <w:t xml:space="preserve">с даты получения Товара. О выявленных несоответствиях Покупатель обязан в этот же срок письменно уведомить Поставщика с приложением фото- и видеоматериалов. По истечении указанного срока при отсутствии письменного уведомления Товар считается принятым по качеству и комплектности без замечаний. Инструкции Госарбитража СССР № П-6 и П-7 Сторонами не применяются.</w:t>
      </w:r>
    </w:p>
    <w:p>
      <w:pPr>
        <w:pStyle w:val="BodyText"/>
        <w:jc w:val="both"/>
      </w:pPr>
      <w:r>
        <w:t xml:space="preserve">6.3. Если Спецификацией предусмотрена пусконаладка, по её завершении Стороны подписывают Акт ввода в эксплуатацию. Покупатель обязан подписать Акт либо направить мотивированный письменный отказ в течение</w:t>
      </w:r>
      <w:r>
        <w:t xml:space="preserve"> </w:t>
      </w:r>
      <w:r>
        <w:rPr>
          <w:b/>
          <w:bCs/>
        </w:rPr>
        <w:t xml:space="preserve">3 (трёх) рабочих дней</w:t>
      </w:r>
      <w:r>
        <w:t xml:space="preserve"> </w:t>
      </w:r>
      <w:r>
        <w:t xml:space="preserve">с даты завершения пусконаладки. При отсутствии подписанного Акта или мотивированного отказа в этот срок, а также при начале эксплуатации Товара Покупателем пусконаладка считается выполненной и принятой.</w:t>
      </w:r>
    </w:p>
    <w:p>
      <w:pPr>
        <w:pStyle w:val="BodyText"/>
        <w:jc w:val="both"/>
      </w:pPr>
      <w:r>
        <w:t xml:space="preserve">6.4. Покупатель уведомлён и согласен, что Товар является</w:t>
      </w:r>
      <w:r>
        <w:t xml:space="preserve"> </w:t>
      </w:r>
      <w:r>
        <w:rPr>
          <w:b/>
          <w:bCs/>
        </w:rPr>
        <w:t xml:space="preserve">восстановленным</w:t>
      </w:r>
      <w:r>
        <w:t xml:space="preserve"> </w:t>
      </w:r>
      <w:r>
        <w:t xml:space="preserve">(бывшим в употреблении и прошедшим заводское восстановление). Следы предыдущей эксплуатации, не влияющие на работоспособность (потёртости, мелкие царапины, различия оттенка пластика), а также показания счётчика отпечатков в пределах, указанных в Спецификации, не являются недостатком Товара.</w:t>
      </w:r>
    </w:p>
    <w:bookmarkEnd w:id="14"/>
    <w:bookmarkStart w:id="15" w:name="гарантия"/>
    <w:p>
      <w:pPr>
        <w:pStyle w:val="Heading2"/>
      </w:pPr>
      <w:r>
        <w:t xml:space="preserve">7. Гарантия</w:t>
      </w:r>
    </w:p>
    <w:p>
      <w:pPr>
        <w:pStyle w:val="FirstParagraph"/>
        <w:jc w:val="both"/>
      </w:pPr>
      <w:r>
        <w:t xml:space="preserve">7.1. Гарантийный срок на оборудование составляет</w:t>
      </w:r>
      <w:r>
        <w:t xml:space="preserve"> </w:t>
      </w:r>
      <w:r>
        <w:rPr>
          <w:b/>
          <w:bCs/>
        </w:rPr>
        <w:t xml:space="preserve">12 (двенадцать) месяцев</w:t>
      </w:r>
      <w:r>
        <w:t xml:space="preserve"> </w:t>
      </w:r>
      <w:r>
        <w:t xml:space="preserve">с даты передачи Товара (даты УПД)</w:t>
      </w:r>
      <w:r>
        <w:t xml:space="preserve"> </w:t>
      </w:r>
      <w:r>
        <w:rPr>
          <w:b/>
          <w:bCs/>
        </w:rPr>
        <w:t xml:space="preserve">или до достижения пробега</w:t>
      </w:r>
      <w:r>
        <w:t xml:space="preserve"> </w:t>
      </w:r>
      <w:r>
        <w:t xml:space="preserve">(количества отпечатков), установленного регламентом производителя / указанного в Спецификации, — в зависимости от того, что наступит раньше.</w:t>
      </w:r>
    </w:p>
    <w:p>
      <w:pPr>
        <w:pStyle w:val="BodyText"/>
        <w:jc w:val="both"/>
      </w:pPr>
      <w:r>
        <w:t xml:space="preserve">7.2. В течение гарантийного срока Поставщик по своему выбору устраняет недостатки путём ремонта или замены неисправного узла (детали). Замена Товара целиком производится только в случае, если недостаток не может быть устранён ремонтом. Срок устранения недостатка — до 30 (тридцати) рабочих дней с даты получения Поставщиком Товара (узла) или обеспечения доступа к нему; при необходимости заказа запчасти у производителя срок увеличивается на срок её поставки, о чём Поставщик уведомляет Покупателя.</w:t>
      </w:r>
    </w:p>
    <w:p>
      <w:pPr>
        <w:pStyle w:val="BodyText"/>
        <w:jc w:val="both"/>
      </w:pPr>
      <w:r>
        <w:t xml:space="preserve">7.3. Гарантийное обслуживание выполняется: в Москве и Московской области — на месте установки; в других регионах — путём удалённой диагностики, направления запасных частей (узлов) и инструкций по замене, либо в сервисном центре Поставщика в г. Москве. Доставка Товара (узлов) в сервисный центр и обратно, а также выезд инженера за пределы Московской области (проезд, проживание, время в пути) оплачиваются Покупателем.</w:t>
      </w:r>
    </w:p>
    <w:p>
      <w:pPr>
        <w:pStyle w:val="BodyText"/>
      </w:pPr>
      <w:r>
        <w:t xml:space="preserve">7.4. Гарантия не распространяется на:</w:t>
      </w:r>
    </w:p>
    <w:p>
      <w:pPr>
        <w:pStyle w:val="Compact"/>
        <w:numPr>
          <w:ilvl w:val="0"/>
          <w:numId w:val="1002"/>
        </w:numPr>
      </w:pPr>
      <w:r>
        <w:t xml:space="preserve">расходные материалы и детали, подверженные износу: тонер, чернила, девелопер, фотобарабаны, блоки проявки, узлы термозакрепления (фьюзеры), термоплёнки, ремни переноса, ракели, ролики подачи и отделения, тормозные площадки, ножи, фильтры, ленты;</w:t>
      </w:r>
    </w:p>
    <w:p>
      <w:pPr>
        <w:pStyle w:val="Compact"/>
        <w:numPr>
          <w:ilvl w:val="0"/>
          <w:numId w:val="1002"/>
        </w:numPr>
      </w:pPr>
      <w:r>
        <w:t xml:space="preserve">недостатки, возникшие из-за применения расходных материалов, бумаги и носителей, не рекомендованных производителем или Поставщиком;</w:t>
      </w:r>
    </w:p>
    <w:p>
      <w:pPr>
        <w:pStyle w:val="Compact"/>
        <w:numPr>
          <w:ilvl w:val="0"/>
          <w:numId w:val="1002"/>
        </w:numPr>
      </w:pPr>
      <w:r>
        <w:t xml:space="preserve">недостатки, вызванные нарушением правил эксплуатации, хранения, транспортировки, перемещением Товара без участия Поставщика, механическими повреждениями, попаданием жидкостей, посторонних предметов, насекомых;</w:t>
      </w:r>
    </w:p>
    <w:p>
      <w:pPr>
        <w:pStyle w:val="Compact"/>
        <w:numPr>
          <w:ilvl w:val="0"/>
          <w:numId w:val="1002"/>
        </w:numPr>
      </w:pPr>
      <w:r>
        <w:t xml:space="preserve">недостатки, вызванные нестабильностью электросети, отсутствием заземления, скачками напряжения, а также работой без стабилизатора/ИБП, если его применение рекомендовано Поставщиком;</w:t>
      </w:r>
    </w:p>
    <w:p>
      <w:pPr>
        <w:pStyle w:val="Compact"/>
        <w:numPr>
          <w:ilvl w:val="0"/>
          <w:numId w:val="1002"/>
        </w:numPr>
      </w:pPr>
      <w:r>
        <w:t xml:space="preserve">Товар, в который вносились изменения, ремонт или вскрытие лицами, не уполномоченными Поставщиком, а также при нарушении гарантийных пломб;</w:t>
      </w:r>
    </w:p>
    <w:p>
      <w:pPr>
        <w:pStyle w:val="Compact"/>
        <w:numPr>
          <w:ilvl w:val="0"/>
          <w:numId w:val="1002"/>
        </w:numPr>
      </w:pPr>
      <w:r>
        <w:t xml:space="preserve">программное обеспечение, сетевые настройки, драйверы, вредоносное ПО, совместимость с оборудованием и ПО Покупателя;</w:t>
      </w:r>
    </w:p>
    <w:p>
      <w:pPr>
        <w:pStyle w:val="Compact"/>
        <w:numPr>
          <w:ilvl w:val="0"/>
          <w:numId w:val="1002"/>
        </w:numPr>
      </w:pPr>
      <w:r>
        <w:t xml:space="preserve">превышение рекомендованной производителем месячной нагрузки (пробега).</w:t>
      </w:r>
    </w:p>
    <w:p>
      <w:pPr>
        <w:pStyle w:val="FirstParagraph"/>
        <w:jc w:val="both"/>
      </w:pPr>
      <w:r>
        <w:t xml:space="preserve">7.5. Гарантийный срок не продлевается и не возобновляется при ремонте или замене узлов, если иное не установлено законом. Гарантия на заменённый узел действует до окончания гарантийного срока на Товар.</w:t>
      </w:r>
    </w:p>
    <w:p>
      <w:pPr>
        <w:pStyle w:val="BodyText"/>
        <w:jc w:val="both"/>
      </w:pPr>
      <w:r>
        <w:t xml:space="preserve">7.6. Для предъявления требования по гарантии Покупатель направляет Поставщику письменную заявку с указанием модели, серийного номера, показаний счётчика, описания неисправности и кодов ошибок. Если по результатам диагностики случай признан негарантийным, Покупатель оплачивает диагностику, выезд и ремонт по действующим расценкам Поставщика.</w:t>
      </w:r>
      <w:r>
        <w:t xml:space="preserve"> </w:t>
      </w:r>
      <w:r>
        <w:t xml:space="preserve">## 8. Ответственность Сторон</w:t>
      </w:r>
    </w:p>
    <w:p>
      <w:pPr>
        <w:pStyle w:val="BodyText"/>
        <w:jc w:val="both"/>
      </w:pPr>
      <w:r>
        <w:t xml:space="preserve">8.1. За просрочку оплаты Покупатель уплачивает Поставщику пени в размере</w:t>
      </w:r>
      <w:r>
        <w:t xml:space="preserve"> </w:t>
      </w:r>
      <w:r>
        <w:rPr>
          <w:b/>
          <w:bCs/>
        </w:rPr>
        <w:t xml:space="preserve">0,1 % (одной десятой процента)</w:t>
      </w:r>
      <w:r>
        <w:t xml:space="preserve"> </w:t>
      </w:r>
      <w:r>
        <w:t xml:space="preserve">от неоплаченной суммы за каждый день просрочки.</w:t>
      </w:r>
    </w:p>
    <w:p>
      <w:pPr>
        <w:pStyle w:val="BodyText"/>
        <w:jc w:val="both"/>
      </w:pPr>
      <w:r>
        <w:t xml:space="preserve">8.2. За просрочку исполнения своих обязательств Поставщик по письменному требованию уплачивает пени в размере 0,01 % (одной сотой процента) от стоимости неисполненного обязательства за каждый день просрочки, но не более 5 % (пяти процентов) от стоимости неисполненного обязательства. Уплата пени является исключительной мерой ответственности Поставщика за просрочку.</w:t>
      </w:r>
    </w:p>
    <w:p>
      <w:pPr>
        <w:pStyle w:val="BodyText"/>
        <w:jc w:val="both"/>
      </w:pPr>
      <w:r>
        <w:t xml:space="preserve">8.3. Совокупная ответственность Поставщика по Договору ограничивается суммой реального ущерба и не может превышать стоимости Товара по соответствующей Спецификации. Упущенная выгода, косвенные убытки, убытки от простоя производства, потери данных и штрафы, наложенные на Покупателя третьими лицами, возмещению не подлежат. Ограничение не применяется к умышленному нарушению обязательств (п. 4 ст. 401 ГК РФ).</w:t>
      </w:r>
    </w:p>
    <w:p>
      <w:pPr>
        <w:pStyle w:val="BodyText"/>
        <w:jc w:val="both"/>
      </w:pPr>
      <w:r>
        <w:t xml:space="preserve">8.4. Проценты на сумму предварительной оплаты (аванса), а также проценты по ст. 317.1 ГК РФ на суммы обязательств Сторон не начисляются.</w:t>
      </w:r>
    </w:p>
    <w:p>
      <w:pPr>
        <w:pStyle w:val="BodyText"/>
        <w:jc w:val="both"/>
      </w:pPr>
      <w:r>
        <w:t xml:space="preserve">8.5. Поставщик вправе приостановить исполнение своих обязательств (в том числе поставку, выполнение работ, гарантийное и сервисное обслуживание) при просрочке Покупателем любого платежа по Договору до полного погашения задолженности (ст. 328 ГК РФ). Сроки исполнения обязательств Поставщика при этом соразмерно продлеваются.</w:t>
      </w:r>
    </w:p>
    <w:p>
      <w:pPr>
        <w:pStyle w:val="BodyText"/>
        <w:jc w:val="both"/>
      </w:pPr>
      <w:r>
        <w:t xml:space="preserve">8.6. Неустойка начисляется только при предъявлении письменного требования. Поставщик вправе удержать сумму начисленной неустойки и иных платежей, причитающихся ему по Договору, из сумм, подлежащих возврату Покупателю.</w:t>
      </w:r>
      <w:r>
        <w:t xml:space="preserve"> </w:t>
      </w:r>
      <w:r>
        <w:t xml:space="preserve">## 9. Обстоятельства непреодолимой силы</w:t>
      </w:r>
    </w:p>
    <w:p>
      <w:pPr>
        <w:pStyle w:val="BodyText"/>
        <w:jc w:val="both"/>
      </w:pPr>
      <w:r>
        <w:t xml:space="preserve">9.1. Стороны освобождаются от ответственности за неисполнение обязательств, вызванное обстоятельствами непреодолимой силы, в том числе: стихийными бедствиями, пожарами, эпидемиями, военными действиями, актами органов власти, введением санкций и ограничительных мер, запретами и ограничениями импорта/экспорта, изменением таможенных правил и задержками таможенного оформления, остановкой работы портов, железных дорог и транспортных компаний, а также задержками и остановкой производства у изготовителя Товара.</w:t>
      </w:r>
    </w:p>
    <w:p>
      <w:pPr>
        <w:pStyle w:val="BodyText"/>
        <w:jc w:val="both"/>
      </w:pPr>
      <w:r>
        <w:t xml:space="preserve">9.2. Сторона, для которой наступили такие обстоятельства, уведомляет другую Сторону в течение 10 (десяти) рабочих дней. Срок исполнения обязательств продлевается на время действия обстоятельств. Если они длятся более 90 (девяноста) календарных дней, каждая Сторона вправе отказаться от Договора с проведением взаиморасчётов за фактически исполненное.</w:t>
      </w:r>
    </w:p>
    <w:bookmarkEnd w:id="15"/>
    <w:bookmarkStart w:id="16" w:name="порядок-разрешения-споров"/>
    <w:p>
      <w:pPr>
        <w:pStyle w:val="Heading2"/>
      </w:pPr>
      <w:r>
        <w:t xml:space="preserve">10. Порядок разрешения споров</w:t>
      </w:r>
    </w:p>
    <w:p>
      <w:pPr>
        <w:pStyle w:val="FirstParagraph"/>
      </w:pPr>
      <w:r>
        <w:t xml:space="preserve">10.1. Претензионный порядок обязателен. Срок ответа на претензию — 10 (десять) рабочих дней с даты её получения.</w:t>
      </w:r>
    </w:p>
    <w:p>
      <w:pPr>
        <w:pStyle w:val="BodyText"/>
      </w:pPr>
      <w:r>
        <w:t xml:space="preserve">10.2. Споры, не урегулированные в претензионном порядке, передаются на рассмотрение</w:t>
      </w:r>
      <w:r>
        <w:t xml:space="preserve"> </w:t>
      </w:r>
      <w:r>
        <w:rPr>
          <w:b/>
          <w:bCs/>
        </w:rPr>
        <w:t xml:space="preserve">Арбитражного суда города Москвы</w:t>
      </w:r>
      <w:r>
        <w:t xml:space="preserve">.</w:t>
      </w:r>
    </w:p>
    <w:bookmarkEnd w:id="16"/>
    <w:bookmarkStart w:id="17" w:name="заключительные-положения"/>
    <w:p>
      <w:pPr>
        <w:pStyle w:val="Heading2"/>
      </w:pPr>
      <w:r>
        <w:t xml:space="preserve">11. Заключительные положения</w:t>
      </w:r>
    </w:p>
    <w:p>
      <w:pPr>
        <w:pStyle w:val="FirstParagraph"/>
        <w:jc w:val="both"/>
      </w:pPr>
      <w:r>
        <w:t xml:space="preserve">11.1. Договор, Спецификации, заявки, счета, акты, УПД и уведомления могут подписываться и передаваться посредством электронного документооборота (ЭДО) либо в виде сканированных копий по адресам электронной почты, указанным в разделе реквизитов. Такие документы имеют юридическую силу до обмена оригиналами. Сообщение считается полученным в день его отправки на e-mail Стороны, указанный в Договоре.</w:t>
      </w:r>
    </w:p>
    <w:p>
      <w:pPr>
        <w:pStyle w:val="BodyText"/>
        <w:jc w:val="both"/>
      </w:pPr>
      <w:r>
        <w:t xml:space="preserve">11.2. Сторона обязана в течение 3 (трёх) рабочих дней уведомить другую Сторону об изменении реквизитов, адреса, e-mail. До получения уведомления исполнение по прежним реквизитам считается надлежащим.</w:t>
      </w:r>
    </w:p>
    <w:p>
      <w:pPr>
        <w:pStyle w:val="BodyText"/>
        <w:jc w:val="both"/>
      </w:pPr>
      <w:r>
        <w:t xml:space="preserve">11.3. Покупатель (Заказчик) не вправе уступать права требования по Договору третьим лицам без письменного согласия Поставщика (Исполнителя).</w:t>
      </w:r>
    </w:p>
    <w:p>
      <w:pPr>
        <w:pStyle w:val="BodyText"/>
        <w:jc w:val="both"/>
      </w:pPr>
      <w:r>
        <w:t xml:space="preserve">11.4. Подписанием Договора Стороны подтверждают, что его условия обсуждены и приняты ими добровольно, ни одна из Сторон не является слабой стороной Договора, положения ст. 428 ГК РФ к Договору не применяются.</w:t>
      </w:r>
    </w:p>
    <w:p>
      <w:pPr>
        <w:pStyle w:val="BodyText"/>
        <w:jc w:val="both"/>
      </w:pPr>
      <w:r>
        <w:t xml:space="preserve">11.5. Во всём, что не предусмотрено Договором, Стороны руководствуются законодательством Российской Федерации. Договор составлен в двух экземплярах, имеющих равную юридическую силу.</w:t>
      </w:r>
    </w:p>
    <w:bookmarkEnd w:id="17"/>
    <w:bookmarkStart w:id="18" w:name="срок-действия-договора"/>
    <w:p>
      <w:pPr>
        <w:pStyle w:val="Heading2"/>
      </w:pPr>
      <w:r>
        <w:t xml:space="preserve">12. Срок действия Договора</w:t>
      </w:r>
    </w:p>
    <w:p>
      <w:pPr>
        <w:pStyle w:val="FirstParagraph"/>
        <w:jc w:val="both"/>
      </w:pPr>
      <w:r>
        <w:t xml:space="preserve">12.1. Договор вступает в силу с даты подписания и действует до полного исполнения Сторонами обязательств по всем Спецификациям.</w:t>
      </w:r>
    </w:p>
    <w:bookmarkEnd w:id="18"/>
    <w:bookmarkStart w:id="19" w:name="реквизиты-и-подписи-сторон"/>
    <w:p>
      <w:pPr>
        <w:pStyle w:val="Heading2"/>
      </w:pPr>
      <w:r>
        <w:t xml:space="preserve">13. Реквизиты и подписи Сторон</w:t>
      </w:r>
    </w:p>
    <w:p>
      <w:pPr>
        <w:pStyle w:val="FirstParagraph"/>
      </w:pPr>
      <w:r>
        <w:rPr>
          <w:b/>
          <w:bCs/>
        </w:rPr>
        <w:t xml:space="preserve">Поставщик:</w:t>
      </w:r>
      <w:r>
        <w:br/>
      </w:r>
      <w:r>
        <w:t xml:space="preserve">ИП Горелкин Михаил Александрович</w:t>
      </w:r>
      <w:r>
        <w:br/>
      </w:r>
      <w:r>
        <w:t xml:space="preserve">ИНН 773377244708, ОГРНИП ______________</w:t>
      </w:r>
      <w:r>
        <w:br/>
      </w:r>
      <w:r>
        <w:t xml:space="preserve">Адрес: г. Москва, бульвар Яна Райниса, д. 7</w:t>
      </w:r>
      <w:r>
        <w:br/>
      </w:r>
      <w:r>
        <w:t xml:space="preserve">Р/с ______________ в ______________</w:t>
      </w:r>
      <w:r>
        <w:br/>
      </w:r>
      <w:r>
        <w:t xml:space="preserve">К/с ______________, БИК ______________</w:t>
      </w:r>
      <w:r>
        <w:br/>
      </w:r>
      <w:r>
        <w:t xml:space="preserve">Тел.: +7 (495) 236-72-88, e-mail: hello@tonerium.ru</w:t>
      </w:r>
      <w:r>
        <w:br/>
      </w:r>
      <w:r>
        <w:br/>
      </w:r>
      <w:r>
        <w:t xml:space="preserve">_______________ / М. А. Горелкин /</w:t>
      </w:r>
    </w:p>
    <w:p>
      <w:pPr>
        <w:pStyle w:val="BodyText"/>
      </w:pPr>
      <w:r>
        <w:rPr>
          <w:b/>
          <w:bCs/>
        </w:rPr>
        <w:t xml:space="preserve">Покупатель:</w:t>
      </w:r>
      <w:r>
        <w:br/>
      </w:r>
      <w:r>
        <w:t xml:space="preserve">______________________________</w:t>
      </w:r>
      <w:r>
        <w:br/>
      </w:r>
      <w:r>
        <w:t xml:space="preserve">ИНН ______________, КПП ______________</w:t>
      </w:r>
      <w:r>
        <w:br/>
      </w:r>
      <w:r>
        <w:t xml:space="preserve">ОГРН / ОГРНИП ______________</w:t>
      </w:r>
      <w:r>
        <w:br/>
      </w:r>
      <w:r>
        <w:t xml:space="preserve">Адрес: ______________________________</w:t>
      </w:r>
      <w:r>
        <w:br/>
      </w:r>
      <w:r>
        <w:t xml:space="preserve">Р/с ______________ в ______________</w:t>
      </w:r>
      <w:r>
        <w:br/>
      </w:r>
      <w:r>
        <w:t xml:space="preserve">К/с ______________, БИК ______________</w:t>
      </w:r>
      <w:r>
        <w:br/>
      </w:r>
      <w:r>
        <w:t xml:space="preserve">Тел.: ______________, e-mail: ______________</w:t>
      </w:r>
      <w:r>
        <w:br/>
      </w:r>
      <w:r>
        <w:br/>
      </w:r>
      <w:r>
        <w:t xml:space="preserve">_______________ / ______________ /</w:t>
      </w:r>
    </w:p>
    <w:p>
      <w:r>
        <w:pict>
          <v:rect style="width:0;height:1.5pt" o:hralign="center" o:hrstd="t" o:hr="t"/>
        </w:pict>
      </w:r>
    </w:p>
    <w:bookmarkEnd w:id="19"/>
    <w:bookmarkStart w:id="20" w:name="X77faf543fd6dbe97ac93e1b46c0dc70d10c427b"/>
    <w:p>
      <w:pPr>
        <w:pStyle w:val="Heading2"/>
      </w:pPr>
      <w:r>
        <w:t xml:space="preserve">Приложение № 1 — Спецификация № ___ от «___» ____________ 20__ г.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Borders>
          <w:top w:val="single" w:sz="4" w:color="9AA3B8"/>
          <w:left w:val="single" w:sz="4" w:color="9AA3B8"/>
          <w:bottom w:val="single" w:sz="4" w:color="9AA3B8"/>
          <w:right w:val="single" w:sz="4" w:color="9AA3B8"/>
          <w:insideH w:val="single" w:sz="4" w:color="9AA3B8"/>
          <w:insideV w:val="single" w:sz="4" w:color="9AA3B8"/>
        </w:tblBorders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№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Наименование (модель)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Комплектация / опции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Серийный номер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Пробег (счётчик), отпечатков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Кол-во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Цена, руб. (в т. ч. НДС)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Сумма, руб. (в т. ч. НДС)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базовая / с опциями: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Итого:</w:t>
      </w:r>
      <w:r>
        <w:t xml:space="preserve"> </w:t>
      </w:r>
      <w:r>
        <w:t xml:space="preserve">____________ руб., в том числе НДС по ставке, установленной НК РФ, ____________ руб.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Borders>
          <w:top w:val="single" w:sz="4" w:color="9AA3B8"/>
          <w:left w:val="single" w:sz="4" w:color="9AA3B8"/>
          <w:bottom w:val="single" w:sz="4" w:color="9AA3B8"/>
          <w:right w:val="single" w:sz="4" w:color="9AA3B8"/>
          <w:insideH w:val="single" w:sz="4" w:color="9AA3B8"/>
          <w:insideV w:val="single" w:sz="4" w:color="9AA3B8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Срок поставки (ориентировочный)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___ календарных дней с даты внесения обеспечительного платежа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Обеспечительный платёж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___ % — __________ руб.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Способ доставки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самовывоз / доставка Поставщиком по Москве и МО / ТК до терминала / ТК до двери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Адрес доставки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Стоимость доставки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входит / не входит в цену; ____________ руб.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Пусконаладка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не требуется / на месте / удалённо; ____________ руб.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Гарантийный пробег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до ________ отпечатков (или 12 месяцев, что наступит раньше)</w:t>
            </w:r>
          </w:p>
        </w:tc>
      </w:tr>
    </w:tbl>
    <w:p>
      <w:pPr>
        <w:pStyle w:val="BodyText"/>
      </w:pPr>
      <w:r>
        <w:t xml:space="preserve">Поставщик: _______________ / М. А. Горелкин / Покупатель: _______________ / ______________ /</w:t>
      </w:r>
    </w:p>
    <w:bookmarkEnd w:id="20"/>
    <w:bookmarkEnd w:id="21"/>
    <w:sectPr>
      <w:headerReference w:type="default" r:id="rId9"/>
      <w:footerReference w:type="default" r:id="rId10"/>
      <w:footnotePr>
        <w:numRestart w:val="eachSect"/>
      </w:footnotePr>
      <w:pgMar w:top="1020" w:bottom="1020" w:left="1247" w:right="85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6175"/>
        <w:sz w:val="15"/>
      </w:rPr>
      <w:t>Образец. Перед подписанием условия проверяются юристом и адаптируются под конкретную сделку.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A6175"/>
        <w:sz w:val="16"/>
      </w:rPr>
      <w:t>ТОНЕРИУМ · ИП Горелкин М. А. · ИНН 773377244708 · +7 (495) 236-72-88 · hello@tonerium.ru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80" w:line="259" w:lineRule="auto"/>
    </w:pPr>
    <w:rPr>
      <w:rFonts w:ascii="Times New Roman" w:hAnsi="Times New Roman" w:eastAsia="Times New Roman"/>
      <w:sz w:val="22"/>
    </w:rPr>
  </w:style>
  <w:style w:styleId="BodyText" w:type="paragraph">
    <w:name w:val="Body Text"/>
    <w:basedOn w:val="Normal"/>
    <w:link w:val="BodyTextChar"/>
    <w:qFormat/>
    <w:pPr>
      <w:spacing w:after="80" w:before="180" w:line="259" w:lineRule="auto"/>
    </w:pPr>
    <w:rPr>
      <w:rFonts w:ascii="Times New Roman" w:hAnsi="Times New Roman" w:eastAsia="Times New Roman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after="80" w:line="259" w:lineRule="auto"/>
    </w:pPr>
    <w:rPr>
      <w:rFonts w:ascii="Times New Roman" w:hAnsi="Times New Roman" w:eastAsia="Times New Roman"/>
      <w:sz w:val="22"/>
    </w:rPr>
  </w:style>
  <w:style w:customStyle="1" w:styleId="Compact" w:type="paragraph">
    <w:name w:val="Compact"/>
    <w:basedOn w:val="BodyText"/>
    <w:qFormat/>
    <w:pPr>
      <w:spacing w:after="80" w:before="36" w:line="259" w:lineRule="auto"/>
    </w:pPr>
    <w:rPr>
      <w:rFonts w:ascii="Times New Roman" w:hAnsi="Times New Roman" w:eastAsia="Times New Roman"/>
      <w:sz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0"/>
      <w:outlineLvl w:val="0"/>
    </w:pPr>
    <w:rPr>
      <w:rFonts w:asciiTheme="majorHAnsi" w:cstheme="majorBidi" w:eastAsiaTheme="majorEastAsia" w:hAnsiTheme="majorHAnsi" w:ascii="Times New Roman" w:hAnsi="Times New Roman"/>
      <w:b/>
      <w:color w:val="132248"/>
      <w:sz w:val="2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200"/>
      <w:outlineLvl w:val="1"/>
    </w:pPr>
    <w:rPr>
      <w:rFonts w:asciiTheme="majorHAnsi" w:cstheme="majorBidi" w:eastAsiaTheme="majorEastAsia" w:hAnsiTheme="majorHAnsi" w:ascii="Times New Roman" w:hAnsi="Times New Roman"/>
      <w:b/>
      <w:color w:val="132248"/>
      <w:sz w:val="23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под заказ (закупка за наш счёт)</dc:title>
  <dc:creator>Тонериум</dc:creator>
  <cp:keywords/>
  <dcterms:created xsi:type="dcterms:W3CDTF">2026-10-16T13:53:42Z</dcterms:created>
  <dcterms:modified xsi:type="dcterms:W3CDTF">2026-10-16T13:53:42Z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